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DEB" w:rsidRDefault="00763DEB" w:rsidP="00763DEB">
      <w:pPr>
        <w:jc w:val="left"/>
        <w:rPr>
          <w:rFonts w:ascii="Calibri" w:hAnsi="Calibri"/>
          <w:b/>
          <w:sz w:val="26"/>
          <w:szCs w:val="26"/>
        </w:rPr>
      </w:pPr>
    </w:p>
    <w:p w:rsidR="002333B3" w:rsidRDefault="002333B3" w:rsidP="00763DEB">
      <w:pPr>
        <w:spacing w:line="360" w:lineRule="auto"/>
        <w:jc w:val="left"/>
        <w:rPr>
          <w:rFonts w:ascii="Calibri" w:hAnsi="Calibri"/>
          <w:b/>
          <w:sz w:val="26"/>
          <w:szCs w:val="26"/>
        </w:rPr>
      </w:pPr>
    </w:p>
    <w:p w:rsidR="00763DEB" w:rsidRDefault="00763DEB" w:rsidP="00763DEB">
      <w:pPr>
        <w:spacing w:line="360" w:lineRule="auto"/>
        <w:jc w:val="left"/>
        <w:rPr>
          <w:rFonts w:ascii="Calibri" w:hAnsi="Calibri"/>
          <w:b/>
          <w:sz w:val="26"/>
          <w:szCs w:val="26"/>
        </w:rPr>
      </w:pPr>
      <w:r w:rsidRPr="00FE684D">
        <w:rPr>
          <w:rFonts w:ascii="Calibri" w:hAnsi="Calibri"/>
          <w:b/>
          <w:sz w:val="26"/>
          <w:szCs w:val="26"/>
        </w:rPr>
        <w:t xml:space="preserve">Previsioni occupazionali in provincia di Salerno </w:t>
      </w:r>
      <w:r w:rsidRPr="00926BE6">
        <w:rPr>
          <w:rFonts w:ascii="Calibri" w:hAnsi="Calibri"/>
          <w:b/>
          <w:sz w:val="26"/>
          <w:szCs w:val="26"/>
        </w:rPr>
        <w:t>nel 202</w:t>
      </w:r>
      <w:r>
        <w:rPr>
          <w:rFonts w:ascii="Calibri" w:hAnsi="Calibri"/>
          <w:b/>
          <w:sz w:val="26"/>
          <w:szCs w:val="26"/>
        </w:rPr>
        <w:t>5</w:t>
      </w:r>
    </w:p>
    <w:p w:rsidR="0093607F" w:rsidRDefault="001860AC" w:rsidP="001860AC">
      <w:pPr>
        <w:spacing w:line="360" w:lineRule="auto"/>
        <w:rPr>
          <w:rFonts w:ascii="Calibri" w:hAnsi="Calibri"/>
          <w:sz w:val="26"/>
          <w:szCs w:val="26"/>
        </w:rPr>
      </w:pPr>
      <w:r w:rsidRPr="001860AC">
        <w:rPr>
          <w:rFonts w:ascii="Calibri" w:hAnsi="Calibri"/>
          <w:sz w:val="26"/>
          <w:szCs w:val="26"/>
        </w:rPr>
        <w:t xml:space="preserve">In provincia di Salerno </w:t>
      </w:r>
      <w:r w:rsidR="00BA33B3">
        <w:rPr>
          <w:rFonts w:ascii="Calibri" w:hAnsi="Calibri"/>
          <w:sz w:val="26"/>
          <w:szCs w:val="26"/>
        </w:rPr>
        <w:t xml:space="preserve">nell’anno 2025 la domanda di lavoro programmata delle imprese si </w:t>
      </w:r>
      <w:r w:rsidR="0073799B">
        <w:rPr>
          <w:rFonts w:ascii="Calibri" w:hAnsi="Calibri"/>
          <w:sz w:val="26"/>
          <w:szCs w:val="26"/>
        </w:rPr>
        <w:t>mantiene positiva con un +0,7% di entrate previste (116.510 in v</w:t>
      </w:r>
      <w:r w:rsidR="00DA67E8">
        <w:rPr>
          <w:rFonts w:ascii="Calibri" w:hAnsi="Calibri"/>
          <w:sz w:val="26"/>
          <w:szCs w:val="26"/>
        </w:rPr>
        <w:t>.</w:t>
      </w:r>
      <w:r w:rsidR="0073799B">
        <w:rPr>
          <w:rFonts w:ascii="Calibri" w:hAnsi="Calibri"/>
          <w:sz w:val="26"/>
          <w:szCs w:val="26"/>
        </w:rPr>
        <w:t xml:space="preserve"> a</w:t>
      </w:r>
      <w:r w:rsidR="00DA67E8">
        <w:rPr>
          <w:rFonts w:ascii="Calibri" w:hAnsi="Calibri"/>
          <w:sz w:val="26"/>
          <w:szCs w:val="26"/>
        </w:rPr>
        <w:t>.</w:t>
      </w:r>
      <w:r w:rsidR="0073799B">
        <w:rPr>
          <w:rFonts w:ascii="Calibri" w:hAnsi="Calibri"/>
          <w:sz w:val="26"/>
          <w:szCs w:val="26"/>
        </w:rPr>
        <w:t>) rispetto al 2024 e 6 imprese su 10 (il 63% delle imprese con dipendenti ne</w:t>
      </w:r>
      <w:r w:rsidR="00446B60">
        <w:rPr>
          <w:rFonts w:ascii="Calibri" w:hAnsi="Calibri"/>
          <w:sz w:val="26"/>
          <w:szCs w:val="26"/>
        </w:rPr>
        <w:t>i</w:t>
      </w:r>
      <w:r w:rsidR="0073799B">
        <w:rPr>
          <w:rFonts w:ascii="Calibri" w:hAnsi="Calibri"/>
          <w:sz w:val="26"/>
          <w:szCs w:val="26"/>
        </w:rPr>
        <w:t xml:space="preserve"> settor</w:t>
      </w:r>
      <w:r w:rsidR="00446B60">
        <w:rPr>
          <w:rFonts w:ascii="Calibri" w:hAnsi="Calibri"/>
          <w:sz w:val="26"/>
          <w:szCs w:val="26"/>
        </w:rPr>
        <w:t>i</w:t>
      </w:r>
      <w:r w:rsidR="0073799B">
        <w:rPr>
          <w:rFonts w:ascii="Calibri" w:hAnsi="Calibri"/>
          <w:sz w:val="26"/>
          <w:szCs w:val="26"/>
        </w:rPr>
        <w:t xml:space="preserve"> Primario, Servizi e Industria) hanno programmato di assumere. È importante sottolineare che l’edizione di questo anno ha introdotto una novità metodologica importante: il campo di osservazione ha inglobato il settore primario (</w:t>
      </w:r>
      <w:r w:rsidR="0073799B" w:rsidRPr="0073799B">
        <w:rPr>
          <w:rFonts w:ascii="Calibri" w:hAnsi="Calibri"/>
          <w:sz w:val="26"/>
          <w:szCs w:val="26"/>
        </w:rPr>
        <w:t>Agricoltura, silvicoltura, caccia e pesca</w:t>
      </w:r>
      <w:r w:rsidR="0073799B">
        <w:rPr>
          <w:rFonts w:ascii="Calibri" w:hAnsi="Calibri"/>
          <w:sz w:val="26"/>
          <w:szCs w:val="26"/>
        </w:rPr>
        <w:t>).</w:t>
      </w:r>
    </w:p>
    <w:p w:rsidR="00A07171" w:rsidRDefault="0073799B" w:rsidP="001860AC">
      <w:pPr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È aumentata la difficoltà di reperimento per quasi tutti i profili professionali, passata dal 39</w:t>
      </w:r>
      <w:proofErr w:type="gramStart"/>
      <w:r>
        <w:rPr>
          <w:rFonts w:ascii="Calibri" w:hAnsi="Calibri"/>
          <w:sz w:val="26"/>
          <w:szCs w:val="26"/>
        </w:rPr>
        <w:t>%  del</w:t>
      </w:r>
      <w:proofErr w:type="gramEnd"/>
      <w:r>
        <w:rPr>
          <w:rFonts w:ascii="Calibri" w:hAnsi="Calibri"/>
          <w:sz w:val="26"/>
          <w:szCs w:val="26"/>
        </w:rPr>
        <w:t xml:space="preserve"> 2024 al 41% attuale. </w:t>
      </w:r>
      <w:r w:rsidR="00DA67E8">
        <w:rPr>
          <w:rFonts w:ascii="Calibri" w:hAnsi="Calibri"/>
          <w:sz w:val="26"/>
          <w:szCs w:val="26"/>
        </w:rPr>
        <w:t>In particolar modo la percentuale di difficoltà di reperimento degli operai specializzati (19.510 entrate previste in v.a.) è pari al 49,6%.</w:t>
      </w:r>
    </w:p>
    <w:p w:rsidR="00A07171" w:rsidRDefault="002431E9" w:rsidP="001860AC">
      <w:pPr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</w:t>
      </w:r>
      <w:r w:rsidR="00DA67E8">
        <w:rPr>
          <w:rFonts w:ascii="Calibri" w:hAnsi="Calibri"/>
          <w:sz w:val="26"/>
          <w:szCs w:val="26"/>
        </w:rPr>
        <w:t>Il settore che preve</w:t>
      </w:r>
      <w:r w:rsidR="00446B60">
        <w:rPr>
          <w:rFonts w:ascii="Calibri" w:hAnsi="Calibri"/>
          <w:sz w:val="26"/>
          <w:szCs w:val="26"/>
        </w:rPr>
        <w:t>de</w:t>
      </w:r>
      <w:r w:rsidR="00DA67E8">
        <w:rPr>
          <w:rFonts w:ascii="Calibri" w:hAnsi="Calibri"/>
          <w:sz w:val="26"/>
          <w:szCs w:val="26"/>
        </w:rPr>
        <w:t xml:space="preserve"> più entrate nella nostra provincia si conferma la filiera del Turismo (Servizi di alloggio e ristorazione, servizi turistici) che ha pianificato di assumere più di 23mila ingressi in valore assoluto</w:t>
      </w:r>
      <w:r w:rsidR="00446B60">
        <w:rPr>
          <w:rFonts w:ascii="Calibri" w:hAnsi="Calibri"/>
          <w:sz w:val="26"/>
          <w:szCs w:val="26"/>
        </w:rPr>
        <w:t xml:space="preserve">, </w:t>
      </w:r>
      <w:r w:rsidR="00DA67E8">
        <w:rPr>
          <w:rFonts w:ascii="Calibri" w:hAnsi="Calibri"/>
          <w:sz w:val="26"/>
          <w:szCs w:val="26"/>
        </w:rPr>
        <w:t>e</w:t>
      </w:r>
      <w:r w:rsidR="00446B60">
        <w:rPr>
          <w:rFonts w:ascii="Calibri" w:hAnsi="Calibri"/>
          <w:sz w:val="26"/>
          <w:szCs w:val="26"/>
        </w:rPr>
        <w:t>,</w:t>
      </w:r>
      <w:r w:rsidR="00DA67E8">
        <w:rPr>
          <w:rFonts w:ascii="Calibri" w:hAnsi="Calibri"/>
          <w:sz w:val="26"/>
          <w:szCs w:val="26"/>
        </w:rPr>
        <w:t xml:space="preserve"> la professione più richiesta è stata quella degli Esercenti ed addetti nelle attività di ristorazione.</w:t>
      </w:r>
      <w:r>
        <w:rPr>
          <w:rFonts w:ascii="Calibri" w:hAnsi="Calibri"/>
          <w:sz w:val="26"/>
          <w:szCs w:val="26"/>
        </w:rPr>
        <w:t xml:space="preserve"> </w:t>
      </w:r>
    </w:p>
    <w:p w:rsidR="00BA33B3" w:rsidRDefault="00446B60" w:rsidP="001860AC">
      <w:pPr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I driver di crescita si confermano sia le competenze digitali (il 75,3% delle imprese ha investito in almeno uno dei vari ambiti della trasformazione digitale) sia la transizione verso prodotti e tecnologie a maggior risparmio energetico/minor impatto ambientale (il 23,4% delle imprese ha investito nel 2025, in particolare le imprese del Settore Primario per un 38,2%).</w:t>
      </w:r>
    </w:p>
    <w:p w:rsidR="00A07171" w:rsidRDefault="00A07171" w:rsidP="001860AC">
      <w:pPr>
        <w:spacing w:line="360" w:lineRule="auto"/>
        <w:rPr>
          <w:rFonts w:ascii="Calibri" w:hAnsi="Calibri"/>
          <w:sz w:val="26"/>
          <w:szCs w:val="26"/>
        </w:rPr>
      </w:pPr>
    </w:p>
    <w:p w:rsidR="00A07171" w:rsidRDefault="00A07171" w:rsidP="001860AC">
      <w:pPr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noProof/>
          <w:sz w:val="26"/>
          <w:szCs w:val="26"/>
        </w:rPr>
        <w:drawing>
          <wp:inline distT="0" distB="0" distL="0" distR="0">
            <wp:extent cx="6115050" cy="1457325"/>
            <wp:effectExtent l="0" t="0" r="0" b="9525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171" w:rsidRPr="00347F93" w:rsidRDefault="00A07171" w:rsidP="00A07171">
      <w:pPr>
        <w:jc w:val="center"/>
        <w:rPr>
          <w:rFonts w:ascii="Century Gothic" w:hAnsi="Century Gothic" w:cs="Arial"/>
          <w:i/>
          <w:iCs/>
          <w:color w:val="000000"/>
          <w:sz w:val="18"/>
          <w:szCs w:val="18"/>
          <w:highlight w:val="yellow"/>
          <w:lang w:val="pt-BR"/>
        </w:rPr>
      </w:pPr>
      <w:r w:rsidRPr="000D49E0"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  <w:t>Fonte: Unioncamere – Ministero del lavoro e delle politiche sociali - Sistema Informativo Excelsior, 2025</w:t>
      </w:r>
    </w:p>
    <w:p w:rsidR="00A07171" w:rsidRDefault="00A07171" w:rsidP="001860AC">
      <w:pPr>
        <w:spacing w:line="360" w:lineRule="auto"/>
        <w:rPr>
          <w:rFonts w:ascii="Calibri" w:hAnsi="Calibri"/>
          <w:sz w:val="26"/>
          <w:szCs w:val="26"/>
        </w:rPr>
      </w:pPr>
    </w:p>
    <w:p w:rsidR="00A07171" w:rsidRDefault="00A07171" w:rsidP="001860AC">
      <w:pPr>
        <w:spacing w:line="360" w:lineRule="auto"/>
        <w:rPr>
          <w:rFonts w:ascii="Calibri" w:hAnsi="Calibri"/>
          <w:sz w:val="26"/>
          <w:szCs w:val="26"/>
        </w:rPr>
      </w:pPr>
    </w:p>
    <w:p w:rsidR="00A07171" w:rsidRDefault="00A07171" w:rsidP="001860AC">
      <w:pPr>
        <w:spacing w:line="360" w:lineRule="auto"/>
        <w:rPr>
          <w:rFonts w:ascii="Calibri" w:hAnsi="Calibri"/>
          <w:sz w:val="26"/>
          <w:szCs w:val="26"/>
        </w:rPr>
      </w:pPr>
    </w:p>
    <w:p w:rsidR="00763DEB" w:rsidRDefault="00446B60" w:rsidP="00763DEB">
      <w:pPr>
        <w:jc w:val="center"/>
        <w:rPr>
          <w:rFonts w:ascii="Century Gothic" w:hAnsi="Century Gothic"/>
          <w:b/>
          <w:color w:val="000080"/>
          <w:sz w:val="22"/>
          <w:szCs w:val="30"/>
        </w:rPr>
      </w:pPr>
      <w:r>
        <w:rPr>
          <w:rFonts w:ascii="Century Gothic" w:hAnsi="Century Gothic"/>
          <w:b/>
          <w:noProof/>
          <w:color w:val="000080"/>
          <w:sz w:val="22"/>
          <w:szCs w:val="30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156210</wp:posOffset>
            </wp:positionH>
            <wp:positionV relativeFrom="paragraph">
              <wp:posOffset>236855</wp:posOffset>
            </wp:positionV>
            <wp:extent cx="5876925" cy="2297430"/>
            <wp:effectExtent l="0" t="0" r="9525" b="7620"/>
            <wp:wrapTight wrapText="bothSides">
              <wp:wrapPolygon edited="0">
                <wp:start x="0" y="0"/>
                <wp:lineTo x="0" y="21493"/>
                <wp:lineTo x="21565" y="21493"/>
                <wp:lineTo x="21565" y="0"/>
                <wp:lineTo x="0" y="0"/>
              </wp:wrapPolygon>
            </wp:wrapTight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229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DEB" w:rsidRPr="00BF4E39">
        <w:rPr>
          <w:rFonts w:ascii="Century Gothic" w:hAnsi="Century Gothic"/>
          <w:b/>
          <w:color w:val="000080"/>
          <w:sz w:val="22"/>
          <w:szCs w:val="30"/>
        </w:rPr>
        <w:t xml:space="preserve">ENTRATE PREVISTE </w:t>
      </w:r>
      <w:r w:rsidR="002431E9">
        <w:rPr>
          <w:rFonts w:ascii="Century Gothic" w:hAnsi="Century Gothic"/>
          <w:b/>
          <w:color w:val="000080"/>
          <w:sz w:val="22"/>
          <w:szCs w:val="30"/>
        </w:rPr>
        <w:t>nel 2025</w:t>
      </w:r>
      <w:r w:rsidR="00A07171">
        <w:rPr>
          <w:rFonts w:ascii="Century Gothic" w:hAnsi="Century Gothic"/>
          <w:b/>
          <w:color w:val="000080"/>
          <w:sz w:val="22"/>
          <w:szCs w:val="30"/>
        </w:rPr>
        <w:t xml:space="preserve"> </w:t>
      </w:r>
      <w:r w:rsidR="00763DEB" w:rsidRPr="00BF4E39">
        <w:rPr>
          <w:rFonts w:ascii="Century Gothic" w:hAnsi="Century Gothic"/>
          <w:b/>
          <w:color w:val="000080"/>
          <w:sz w:val="22"/>
          <w:szCs w:val="30"/>
        </w:rPr>
        <w:t xml:space="preserve">per </w:t>
      </w:r>
      <w:r w:rsidR="002431E9">
        <w:rPr>
          <w:rFonts w:ascii="Century Gothic" w:hAnsi="Century Gothic"/>
          <w:b/>
          <w:color w:val="000080"/>
          <w:sz w:val="22"/>
          <w:szCs w:val="30"/>
        </w:rPr>
        <w:t>area funzionale di inserimento</w:t>
      </w:r>
      <w:r w:rsidR="00763DEB" w:rsidRPr="00BF4E39">
        <w:rPr>
          <w:rFonts w:ascii="Century Gothic" w:hAnsi="Century Gothic"/>
          <w:b/>
          <w:color w:val="000080"/>
          <w:sz w:val="22"/>
          <w:szCs w:val="30"/>
        </w:rPr>
        <w:t xml:space="preserve"> (%)</w:t>
      </w:r>
    </w:p>
    <w:p w:rsidR="00763DEB" w:rsidRPr="00347F93" w:rsidRDefault="00763DEB" w:rsidP="00763DEB">
      <w:pPr>
        <w:jc w:val="center"/>
        <w:rPr>
          <w:rFonts w:ascii="Century Gothic" w:hAnsi="Century Gothic" w:cs="Arial"/>
          <w:i/>
          <w:iCs/>
          <w:color w:val="000000"/>
          <w:sz w:val="18"/>
          <w:szCs w:val="18"/>
          <w:highlight w:val="yellow"/>
          <w:lang w:val="pt-BR"/>
        </w:rPr>
      </w:pPr>
      <w:r w:rsidRPr="000D49E0"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  <w:t>Fonte: Unioncamere – Ministero del lavoro e delle politiche sociali - Sistema Informativo Excelsior, 2025</w:t>
      </w:r>
    </w:p>
    <w:p w:rsidR="00763DEB" w:rsidRPr="000D49E0" w:rsidRDefault="00763DEB" w:rsidP="00763DEB">
      <w:pPr>
        <w:shd w:val="clear" w:color="auto" w:fill="FFFFFF"/>
        <w:rPr>
          <w:rFonts w:ascii="Calibri" w:hAnsi="Calibri" w:cs="Calibri"/>
          <w:szCs w:val="24"/>
        </w:rPr>
      </w:pPr>
    </w:p>
    <w:p w:rsidR="00763DEB" w:rsidRPr="00172B04" w:rsidRDefault="00763DEB" w:rsidP="00763DEB">
      <w:pPr>
        <w:shd w:val="clear" w:color="auto" w:fill="FFFFFF"/>
        <w:spacing w:line="360" w:lineRule="auto"/>
        <w:rPr>
          <w:rFonts w:ascii="Calibri" w:hAnsi="Calibri" w:cs="Calibri"/>
          <w:szCs w:val="24"/>
        </w:rPr>
      </w:pPr>
      <w:r w:rsidRPr="00172B04">
        <w:rPr>
          <w:rFonts w:ascii="Calibri" w:hAnsi="Calibri" w:cs="Calibri"/>
          <w:szCs w:val="24"/>
        </w:rPr>
        <w:t xml:space="preserve">Nel complesso </w:t>
      </w:r>
      <w:r w:rsidR="002431E9">
        <w:rPr>
          <w:rFonts w:ascii="Calibri" w:hAnsi="Calibri" w:cs="Calibri"/>
          <w:szCs w:val="24"/>
        </w:rPr>
        <w:t>nella provincia di Salerno</w:t>
      </w:r>
      <w:r w:rsidRPr="00172B04">
        <w:rPr>
          <w:rFonts w:ascii="Calibri" w:hAnsi="Calibri" w:cs="Calibri"/>
          <w:szCs w:val="24"/>
        </w:rPr>
        <w:t>:</w:t>
      </w:r>
    </w:p>
    <w:p w:rsidR="00763DEB" w:rsidRDefault="00763DEB" w:rsidP="00763DEB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Calibri"/>
          <w:szCs w:val="24"/>
        </w:rPr>
      </w:pPr>
      <w:r w:rsidRPr="00172B04">
        <w:rPr>
          <w:rFonts w:ascii="Calibri" w:hAnsi="Calibri" w:cs="Calibri"/>
          <w:szCs w:val="24"/>
        </w:rPr>
        <w:t>le entrate pre</w:t>
      </w:r>
      <w:r w:rsidR="00172B04" w:rsidRPr="00172B04">
        <w:rPr>
          <w:rFonts w:ascii="Calibri" w:hAnsi="Calibri" w:cs="Calibri"/>
          <w:szCs w:val="24"/>
        </w:rPr>
        <w:t xml:space="preserve">viste </w:t>
      </w:r>
      <w:r w:rsidR="002431E9">
        <w:rPr>
          <w:rFonts w:ascii="Calibri" w:hAnsi="Calibri" w:cs="Calibri"/>
          <w:szCs w:val="24"/>
        </w:rPr>
        <w:t>nel 2025 sono state 116.510 e si sono concentrate nella classe dimensionale “1-49 dipendenti” (73%)</w:t>
      </w:r>
      <w:r w:rsidRPr="00172B04">
        <w:rPr>
          <w:rFonts w:ascii="Calibri" w:hAnsi="Calibri" w:cs="Calibri"/>
          <w:szCs w:val="24"/>
        </w:rPr>
        <w:t>;</w:t>
      </w:r>
    </w:p>
    <w:p w:rsidR="002431E9" w:rsidRDefault="002431E9" w:rsidP="00763DEB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per una quota pari al 23% hanno interessato il settore giovanile, ovvero giovani con meno di 30 anni;</w:t>
      </w:r>
    </w:p>
    <w:p w:rsidR="002431E9" w:rsidRDefault="002431E9" w:rsidP="00763DEB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il </w:t>
      </w:r>
      <w:r w:rsidR="00A07171">
        <w:rPr>
          <w:rFonts w:ascii="Calibri" w:hAnsi="Calibri" w:cs="Calibri"/>
          <w:szCs w:val="24"/>
        </w:rPr>
        <w:t>75,9% delle entrate è un contratto a tempo determinato;</w:t>
      </w:r>
    </w:p>
    <w:p w:rsidR="00A07171" w:rsidRDefault="00A07171" w:rsidP="00763DEB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il 41,5% della difficoltà di reperimento è dovuta soprattutto alla mancanza di candidati (26,4%) e, in misura minore, alla preparazione inadeguata (11,3%), mentre un ulteriore 3,8% è legato ad altri motivi.</w:t>
      </w:r>
    </w:p>
    <w:p w:rsidR="00763DEB" w:rsidRDefault="00763DEB" w:rsidP="00763DEB">
      <w:pPr>
        <w:jc w:val="center"/>
        <w:rPr>
          <w:rFonts w:ascii="Century Gothic" w:hAnsi="Century Gothic"/>
          <w:b/>
          <w:color w:val="000080"/>
          <w:sz w:val="22"/>
          <w:szCs w:val="30"/>
        </w:rPr>
      </w:pPr>
    </w:p>
    <w:p w:rsidR="00195A74" w:rsidRDefault="00195A74" w:rsidP="00763DEB">
      <w:pPr>
        <w:jc w:val="center"/>
        <w:rPr>
          <w:rFonts w:ascii="Century Gothic" w:hAnsi="Century Gothic"/>
          <w:b/>
          <w:color w:val="000080"/>
          <w:sz w:val="22"/>
          <w:szCs w:val="30"/>
        </w:rPr>
      </w:pPr>
    </w:p>
    <w:p w:rsidR="00195A74" w:rsidRDefault="005B3123" w:rsidP="00763DEB">
      <w:pPr>
        <w:jc w:val="center"/>
        <w:rPr>
          <w:rFonts w:ascii="Century Gothic" w:hAnsi="Century Gothic"/>
          <w:b/>
          <w:color w:val="000080"/>
          <w:sz w:val="22"/>
          <w:szCs w:val="30"/>
        </w:rPr>
      </w:pPr>
      <w:r w:rsidRPr="00BF4E39">
        <w:rPr>
          <w:rFonts w:ascii="Century Gothic" w:hAnsi="Century Gothic"/>
          <w:b/>
          <w:color w:val="000080"/>
          <w:sz w:val="22"/>
          <w:szCs w:val="30"/>
        </w:rPr>
        <w:t xml:space="preserve">ENTRATE PREVISTE </w:t>
      </w:r>
      <w:r>
        <w:rPr>
          <w:rFonts w:ascii="Century Gothic" w:hAnsi="Century Gothic"/>
          <w:b/>
          <w:color w:val="000080"/>
          <w:sz w:val="22"/>
          <w:szCs w:val="30"/>
        </w:rPr>
        <w:t xml:space="preserve">nel 2025 </w:t>
      </w:r>
      <w:r w:rsidRPr="00BF4E39">
        <w:rPr>
          <w:rFonts w:ascii="Century Gothic" w:hAnsi="Century Gothic"/>
          <w:b/>
          <w:color w:val="000080"/>
          <w:sz w:val="22"/>
          <w:szCs w:val="30"/>
        </w:rPr>
        <w:t xml:space="preserve">per </w:t>
      </w:r>
      <w:r>
        <w:rPr>
          <w:rFonts w:ascii="Century Gothic" w:hAnsi="Century Gothic"/>
          <w:b/>
          <w:color w:val="000080"/>
          <w:sz w:val="22"/>
          <w:szCs w:val="30"/>
        </w:rPr>
        <w:t>livello di istruzione</w:t>
      </w:r>
    </w:p>
    <w:p w:rsidR="00195A74" w:rsidRDefault="00195A74" w:rsidP="00763DEB">
      <w:pPr>
        <w:jc w:val="center"/>
        <w:rPr>
          <w:rFonts w:ascii="Century Gothic" w:hAnsi="Century Gothic"/>
          <w:b/>
          <w:color w:val="000080"/>
          <w:sz w:val="22"/>
          <w:szCs w:val="30"/>
        </w:rPr>
      </w:pPr>
    </w:p>
    <w:p w:rsidR="00195A74" w:rsidRDefault="00195A74" w:rsidP="00763DEB">
      <w:pPr>
        <w:jc w:val="center"/>
        <w:rPr>
          <w:rFonts w:ascii="Century Gothic" w:hAnsi="Century Gothic"/>
          <w:b/>
          <w:color w:val="000080"/>
          <w:sz w:val="22"/>
          <w:szCs w:val="30"/>
        </w:rPr>
      </w:pPr>
      <w:r>
        <w:rPr>
          <w:rFonts w:ascii="Century Gothic" w:hAnsi="Century Gothic"/>
          <w:b/>
          <w:noProof/>
          <w:color w:val="000080"/>
          <w:sz w:val="22"/>
          <w:szCs w:val="30"/>
        </w:rPr>
        <w:drawing>
          <wp:inline distT="0" distB="0" distL="0" distR="0">
            <wp:extent cx="4219575" cy="1485900"/>
            <wp:effectExtent l="0" t="0" r="9525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5"/>
                    <a:stretch/>
                  </pic:blipFill>
                  <pic:spPr bwMode="auto">
                    <a:xfrm>
                      <a:off x="0" y="0"/>
                      <a:ext cx="42195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3123" w:rsidRPr="00347F93" w:rsidRDefault="005B3123" w:rsidP="005B3123">
      <w:pPr>
        <w:jc w:val="center"/>
        <w:rPr>
          <w:rFonts w:ascii="Century Gothic" w:hAnsi="Century Gothic" w:cs="Arial"/>
          <w:i/>
          <w:iCs/>
          <w:color w:val="000000"/>
          <w:sz w:val="18"/>
          <w:szCs w:val="18"/>
          <w:highlight w:val="yellow"/>
          <w:lang w:val="pt-BR"/>
        </w:rPr>
      </w:pPr>
      <w:r w:rsidRPr="000D49E0"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  <w:t>Fonte: Unioncamere – Ministero del lavoro e delle politiche sociali - Sistema Informativo Excelsior, 2025</w:t>
      </w:r>
    </w:p>
    <w:p w:rsidR="00195A74" w:rsidRDefault="00195A74" w:rsidP="00763DEB">
      <w:pPr>
        <w:jc w:val="center"/>
        <w:rPr>
          <w:rFonts w:ascii="Century Gothic" w:hAnsi="Century Gothic"/>
          <w:b/>
          <w:color w:val="000080"/>
          <w:sz w:val="22"/>
          <w:szCs w:val="30"/>
        </w:rPr>
      </w:pPr>
    </w:p>
    <w:p w:rsidR="00195A74" w:rsidRDefault="00195A74" w:rsidP="00763DEB">
      <w:pPr>
        <w:jc w:val="center"/>
        <w:rPr>
          <w:rFonts w:ascii="Century Gothic" w:hAnsi="Century Gothic"/>
          <w:b/>
          <w:color w:val="000080"/>
          <w:sz w:val="22"/>
          <w:szCs w:val="30"/>
        </w:rPr>
      </w:pPr>
    </w:p>
    <w:p w:rsidR="00195A74" w:rsidRDefault="00195A74" w:rsidP="00763DEB">
      <w:pPr>
        <w:jc w:val="center"/>
        <w:rPr>
          <w:rFonts w:ascii="Century Gothic" w:hAnsi="Century Gothic"/>
          <w:b/>
          <w:color w:val="000080"/>
          <w:sz w:val="22"/>
          <w:szCs w:val="30"/>
        </w:rPr>
      </w:pPr>
    </w:p>
    <w:p w:rsidR="00195A74" w:rsidRDefault="00195A74" w:rsidP="005B3123">
      <w:pPr>
        <w:jc w:val="left"/>
        <w:rPr>
          <w:rFonts w:ascii="Century Gothic" w:hAnsi="Century Gothic"/>
          <w:b/>
          <w:color w:val="000080"/>
          <w:sz w:val="22"/>
          <w:szCs w:val="30"/>
        </w:rPr>
      </w:pPr>
    </w:p>
    <w:p w:rsidR="005B3123" w:rsidRPr="005B3123" w:rsidRDefault="005B3123" w:rsidP="005B3123">
      <w:pPr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Di seguito </w:t>
      </w:r>
      <w:r w:rsidR="001E078A">
        <w:rPr>
          <w:rFonts w:ascii="Calibri" w:hAnsi="Calibri"/>
          <w:sz w:val="26"/>
          <w:szCs w:val="26"/>
        </w:rPr>
        <w:t>un focus su</w:t>
      </w:r>
      <w:r w:rsidRPr="005B3123">
        <w:rPr>
          <w:rFonts w:ascii="Calibri" w:hAnsi="Calibri"/>
          <w:sz w:val="26"/>
          <w:szCs w:val="26"/>
        </w:rPr>
        <w:t>i</w:t>
      </w:r>
      <w:r>
        <w:rPr>
          <w:rFonts w:ascii="Calibri" w:hAnsi="Calibri"/>
          <w:sz w:val="26"/>
          <w:szCs w:val="26"/>
        </w:rPr>
        <w:t xml:space="preserve"> </w:t>
      </w:r>
      <w:r w:rsidRPr="005B3123">
        <w:rPr>
          <w:rFonts w:ascii="Calibri" w:hAnsi="Calibri"/>
          <w:sz w:val="26"/>
          <w:szCs w:val="26"/>
        </w:rPr>
        <w:t>titoli</w:t>
      </w:r>
      <w:r>
        <w:rPr>
          <w:rFonts w:ascii="Calibri" w:hAnsi="Calibri"/>
          <w:sz w:val="26"/>
          <w:szCs w:val="26"/>
        </w:rPr>
        <w:t xml:space="preserve"> </w:t>
      </w:r>
      <w:r w:rsidRPr="005B3123">
        <w:rPr>
          <w:rFonts w:ascii="Calibri" w:hAnsi="Calibri"/>
          <w:sz w:val="26"/>
          <w:szCs w:val="26"/>
        </w:rPr>
        <w:t>di</w:t>
      </w:r>
      <w:r>
        <w:rPr>
          <w:rFonts w:ascii="Calibri" w:hAnsi="Calibri"/>
          <w:sz w:val="26"/>
          <w:szCs w:val="26"/>
        </w:rPr>
        <w:t xml:space="preserve"> </w:t>
      </w:r>
      <w:r w:rsidRPr="005B3123">
        <w:rPr>
          <w:rFonts w:ascii="Calibri" w:hAnsi="Calibri"/>
          <w:sz w:val="26"/>
          <w:szCs w:val="26"/>
        </w:rPr>
        <w:t>studio</w:t>
      </w:r>
      <w:r>
        <w:rPr>
          <w:rFonts w:ascii="Calibri" w:hAnsi="Calibri"/>
          <w:sz w:val="26"/>
          <w:szCs w:val="26"/>
        </w:rPr>
        <w:t xml:space="preserve"> </w:t>
      </w:r>
      <w:r w:rsidRPr="005B3123">
        <w:rPr>
          <w:rFonts w:ascii="Calibri" w:hAnsi="Calibri"/>
          <w:sz w:val="26"/>
          <w:szCs w:val="26"/>
        </w:rPr>
        <w:t>più</w:t>
      </w:r>
      <w:r>
        <w:rPr>
          <w:rFonts w:ascii="Calibri" w:hAnsi="Calibri"/>
          <w:sz w:val="26"/>
          <w:szCs w:val="26"/>
        </w:rPr>
        <w:t xml:space="preserve"> </w:t>
      </w:r>
      <w:r w:rsidRPr="005B3123">
        <w:rPr>
          <w:rFonts w:ascii="Calibri" w:hAnsi="Calibri"/>
          <w:sz w:val="26"/>
          <w:szCs w:val="26"/>
        </w:rPr>
        <w:t>ricercati</w:t>
      </w:r>
      <w:r>
        <w:rPr>
          <w:rFonts w:ascii="Calibri" w:hAnsi="Calibri"/>
          <w:sz w:val="26"/>
          <w:szCs w:val="26"/>
        </w:rPr>
        <w:t xml:space="preserve"> </w:t>
      </w:r>
      <w:r w:rsidRPr="005B3123">
        <w:rPr>
          <w:rFonts w:ascii="Calibri" w:hAnsi="Calibri"/>
          <w:sz w:val="26"/>
          <w:szCs w:val="26"/>
        </w:rPr>
        <w:t>dalle</w:t>
      </w:r>
      <w:r>
        <w:rPr>
          <w:rFonts w:ascii="Calibri" w:hAnsi="Calibri"/>
          <w:sz w:val="26"/>
          <w:szCs w:val="26"/>
        </w:rPr>
        <w:t xml:space="preserve"> </w:t>
      </w:r>
      <w:r w:rsidRPr="005B3123">
        <w:rPr>
          <w:rFonts w:ascii="Calibri" w:hAnsi="Calibri"/>
          <w:sz w:val="26"/>
          <w:szCs w:val="26"/>
        </w:rPr>
        <w:t>imprese</w:t>
      </w:r>
      <w:r>
        <w:rPr>
          <w:rFonts w:ascii="Calibri" w:hAnsi="Calibri"/>
          <w:sz w:val="26"/>
          <w:szCs w:val="26"/>
        </w:rPr>
        <w:t xml:space="preserve"> </w:t>
      </w:r>
      <w:r w:rsidRPr="005B3123">
        <w:rPr>
          <w:rFonts w:ascii="Calibri" w:hAnsi="Calibri"/>
          <w:sz w:val="26"/>
          <w:szCs w:val="26"/>
        </w:rPr>
        <w:t>relativamente</w:t>
      </w:r>
      <w:r>
        <w:rPr>
          <w:rFonts w:ascii="Calibri" w:hAnsi="Calibri"/>
          <w:sz w:val="26"/>
          <w:szCs w:val="26"/>
        </w:rPr>
        <w:t xml:space="preserve"> </w:t>
      </w:r>
      <w:r w:rsidRPr="005B3123">
        <w:rPr>
          <w:rFonts w:ascii="Calibri" w:hAnsi="Calibri"/>
          <w:sz w:val="26"/>
          <w:szCs w:val="26"/>
        </w:rPr>
        <w:t>ai</w:t>
      </w:r>
      <w:r>
        <w:rPr>
          <w:rFonts w:ascii="Calibri" w:hAnsi="Calibri"/>
          <w:sz w:val="26"/>
          <w:szCs w:val="26"/>
        </w:rPr>
        <w:t xml:space="preserve"> </w:t>
      </w:r>
      <w:r w:rsidRPr="005B3123">
        <w:rPr>
          <w:rFonts w:ascii="Calibri" w:hAnsi="Calibri"/>
          <w:sz w:val="26"/>
          <w:szCs w:val="26"/>
        </w:rPr>
        <w:t>livelli</w:t>
      </w:r>
      <w:r>
        <w:rPr>
          <w:rFonts w:ascii="Calibri" w:hAnsi="Calibri"/>
          <w:sz w:val="26"/>
          <w:szCs w:val="26"/>
        </w:rPr>
        <w:t xml:space="preserve"> </w:t>
      </w:r>
      <w:r w:rsidRPr="005B3123">
        <w:rPr>
          <w:rFonts w:ascii="Calibri" w:hAnsi="Calibri"/>
          <w:sz w:val="26"/>
          <w:szCs w:val="26"/>
        </w:rPr>
        <w:t>di</w:t>
      </w:r>
      <w:r>
        <w:rPr>
          <w:rFonts w:ascii="Calibri" w:hAnsi="Calibri"/>
          <w:sz w:val="26"/>
          <w:szCs w:val="26"/>
        </w:rPr>
        <w:t xml:space="preserve">   i</w:t>
      </w:r>
      <w:r w:rsidRPr="005B3123">
        <w:rPr>
          <w:rFonts w:ascii="Calibri" w:hAnsi="Calibri"/>
          <w:sz w:val="26"/>
          <w:szCs w:val="26"/>
        </w:rPr>
        <w:t>struzione</w:t>
      </w:r>
      <w:r>
        <w:rPr>
          <w:rFonts w:ascii="Calibri" w:hAnsi="Calibri"/>
          <w:sz w:val="26"/>
          <w:szCs w:val="26"/>
        </w:rPr>
        <w:t xml:space="preserve"> </w:t>
      </w:r>
      <w:r w:rsidRPr="005B3123">
        <w:rPr>
          <w:rFonts w:ascii="Calibri" w:hAnsi="Calibri"/>
          <w:sz w:val="26"/>
          <w:szCs w:val="26"/>
        </w:rPr>
        <w:t>terziaria</w:t>
      </w:r>
      <w:r>
        <w:rPr>
          <w:rFonts w:ascii="Calibri" w:hAnsi="Calibri"/>
          <w:sz w:val="26"/>
          <w:szCs w:val="26"/>
        </w:rPr>
        <w:t xml:space="preserve"> </w:t>
      </w:r>
      <w:r w:rsidRPr="005B3123">
        <w:rPr>
          <w:rFonts w:ascii="Calibri" w:hAnsi="Calibri"/>
          <w:sz w:val="26"/>
          <w:szCs w:val="26"/>
        </w:rPr>
        <w:t>(laurea</w:t>
      </w:r>
      <w:r>
        <w:rPr>
          <w:rFonts w:ascii="Calibri" w:hAnsi="Calibri"/>
          <w:sz w:val="26"/>
          <w:szCs w:val="26"/>
        </w:rPr>
        <w:t xml:space="preserve"> </w:t>
      </w:r>
      <w:r w:rsidRPr="005B3123">
        <w:rPr>
          <w:rFonts w:ascii="Calibri" w:hAnsi="Calibri"/>
          <w:sz w:val="26"/>
          <w:szCs w:val="26"/>
        </w:rPr>
        <w:t>o</w:t>
      </w:r>
      <w:r>
        <w:rPr>
          <w:rFonts w:ascii="Calibri" w:hAnsi="Calibri"/>
          <w:sz w:val="26"/>
          <w:szCs w:val="26"/>
        </w:rPr>
        <w:t xml:space="preserve"> </w:t>
      </w:r>
      <w:r w:rsidRPr="005B3123">
        <w:rPr>
          <w:rFonts w:ascii="Calibri" w:hAnsi="Calibri"/>
          <w:sz w:val="26"/>
          <w:szCs w:val="26"/>
        </w:rPr>
        <w:t>diploma</w:t>
      </w:r>
      <w:r>
        <w:rPr>
          <w:rFonts w:ascii="Calibri" w:hAnsi="Calibri"/>
          <w:sz w:val="26"/>
          <w:szCs w:val="26"/>
        </w:rPr>
        <w:t xml:space="preserve"> </w:t>
      </w:r>
      <w:r w:rsidRPr="005B3123">
        <w:rPr>
          <w:rFonts w:ascii="Calibri" w:hAnsi="Calibri"/>
          <w:sz w:val="26"/>
          <w:szCs w:val="26"/>
        </w:rPr>
        <w:t>ITS</w:t>
      </w:r>
      <w:r>
        <w:rPr>
          <w:rFonts w:ascii="Calibri" w:hAnsi="Calibri"/>
          <w:sz w:val="26"/>
          <w:szCs w:val="26"/>
        </w:rPr>
        <w:t xml:space="preserve"> </w:t>
      </w:r>
      <w:r w:rsidRPr="005B3123">
        <w:rPr>
          <w:rFonts w:ascii="Calibri" w:hAnsi="Calibri"/>
          <w:sz w:val="26"/>
          <w:szCs w:val="26"/>
        </w:rPr>
        <w:t>Academy)</w:t>
      </w:r>
      <w:r>
        <w:rPr>
          <w:rFonts w:ascii="Calibri" w:hAnsi="Calibri"/>
          <w:sz w:val="26"/>
          <w:szCs w:val="26"/>
        </w:rPr>
        <w:t xml:space="preserve"> </w:t>
      </w:r>
      <w:r w:rsidRPr="005B3123">
        <w:rPr>
          <w:rFonts w:ascii="Calibri" w:hAnsi="Calibri"/>
          <w:sz w:val="26"/>
          <w:szCs w:val="26"/>
        </w:rPr>
        <w:t>e</w:t>
      </w:r>
      <w:r>
        <w:rPr>
          <w:rFonts w:ascii="Calibri" w:hAnsi="Calibri"/>
          <w:sz w:val="26"/>
          <w:szCs w:val="26"/>
        </w:rPr>
        <w:t xml:space="preserve"> </w:t>
      </w:r>
      <w:r w:rsidRPr="005B3123">
        <w:rPr>
          <w:rFonts w:ascii="Calibri" w:hAnsi="Calibri"/>
          <w:sz w:val="26"/>
          <w:szCs w:val="26"/>
        </w:rPr>
        <w:t>secondaria</w:t>
      </w:r>
      <w:r>
        <w:rPr>
          <w:rFonts w:ascii="Calibri" w:hAnsi="Calibri"/>
          <w:sz w:val="26"/>
          <w:szCs w:val="26"/>
        </w:rPr>
        <w:t xml:space="preserve"> </w:t>
      </w:r>
      <w:r w:rsidRPr="005B3123">
        <w:rPr>
          <w:rFonts w:ascii="Calibri" w:hAnsi="Calibri"/>
          <w:sz w:val="26"/>
          <w:szCs w:val="26"/>
        </w:rPr>
        <w:t>(diploma</w:t>
      </w:r>
      <w:r>
        <w:rPr>
          <w:rFonts w:ascii="Calibri" w:hAnsi="Calibri"/>
          <w:sz w:val="26"/>
          <w:szCs w:val="26"/>
        </w:rPr>
        <w:t xml:space="preserve"> </w:t>
      </w:r>
      <w:r w:rsidRPr="005B3123">
        <w:rPr>
          <w:rFonts w:ascii="Calibri" w:hAnsi="Calibri"/>
          <w:sz w:val="26"/>
          <w:szCs w:val="26"/>
        </w:rPr>
        <w:t>di</w:t>
      </w:r>
      <w:r>
        <w:rPr>
          <w:rFonts w:ascii="Calibri" w:hAnsi="Calibri"/>
          <w:sz w:val="26"/>
          <w:szCs w:val="26"/>
        </w:rPr>
        <w:t xml:space="preserve"> </w:t>
      </w:r>
      <w:r w:rsidRPr="005B3123">
        <w:rPr>
          <w:rFonts w:ascii="Calibri" w:hAnsi="Calibri"/>
          <w:sz w:val="26"/>
          <w:szCs w:val="26"/>
        </w:rPr>
        <w:t>scuola</w:t>
      </w:r>
      <w:r>
        <w:rPr>
          <w:rFonts w:ascii="Calibri" w:hAnsi="Calibri"/>
          <w:sz w:val="26"/>
          <w:szCs w:val="26"/>
        </w:rPr>
        <w:t xml:space="preserve"> </w:t>
      </w:r>
      <w:r w:rsidRPr="005B3123">
        <w:rPr>
          <w:rFonts w:ascii="Calibri" w:hAnsi="Calibri"/>
          <w:sz w:val="26"/>
          <w:szCs w:val="26"/>
        </w:rPr>
        <w:t>secondaria</w:t>
      </w:r>
      <w:r>
        <w:rPr>
          <w:rFonts w:ascii="Calibri" w:hAnsi="Calibri"/>
          <w:sz w:val="26"/>
          <w:szCs w:val="26"/>
        </w:rPr>
        <w:t xml:space="preserve"> </w:t>
      </w:r>
      <w:r w:rsidRPr="005B3123">
        <w:rPr>
          <w:rFonts w:ascii="Calibri" w:hAnsi="Calibri"/>
          <w:sz w:val="26"/>
          <w:szCs w:val="26"/>
        </w:rPr>
        <w:t>superiore tecnico-professionale e qualifica di formazione o diploma professionale)</w:t>
      </w:r>
      <w:r w:rsidR="00A073D4">
        <w:rPr>
          <w:rFonts w:ascii="Calibri" w:hAnsi="Calibri"/>
          <w:sz w:val="26"/>
          <w:szCs w:val="26"/>
        </w:rPr>
        <w:t xml:space="preserve"> nell’anno 2025</w:t>
      </w:r>
      <w:bookmarkStart w:id="0" w:name="_GoBack"/>
      <w:bookmarkEnd w:id="0"/>
      <w:r w:rsidRPr="005B3123">
        <w:rPr>
          <w:rFonts w:ascii="Calibri" w:hAnsi="Calibri"/>
          <w:sz w:val="26"/>
          <w:szCs w:val="26"/>
        </w:rPr>
        <w:t>.</w:t>
      </w:r>
    </w:p>
    <w:p w:rsidR="00195A74" w:rsidRPr="005B3123" w:rsidRDefault="00195A74" w:rsidP="00763DEB">
      <w:pPr>
        <w:jc w:val="center"/>
        <w:rPr>
          <w:rFonts w:ascii="Calibri" w:hAnsi="Calibri"/>
          <w:sz w:val="26"/>
          <w:szCs w:val="26"/>
        </w:rPr>
      </w:pPr>
    </w:p>
    <w:p w:rsidR="005B3123" w:rsidRDefault="005B3123" w:rsidP="00763DEB">
      <w:pPr>
        <w:jc w:val="center"/>
        <w:rPr>
          <w:rFonts w:ascii="Century Gothic" w:hAnsi="Century Gothic"/>
          <w:b/>
          <w:color w:val="000080"/>
          <w:sz w:val="22"/>
          <w:szCs w:val="30"/>
        </w:rPr>
      </w:pPr>
      <w:r>
        <w:rPr>
          <w:rFonts w:ascii="Century Gothic" w:hAnsi="Century Gothic"/>
          <w:b/>
          <w:noProof/>
          <w:color w:val="000080"/>
          <w:sz w:val="22"/>
          <w:szCs w:val="30"/>
        </w:rPr>
        <w:drawing>
          <wp:inline distT="0" distB="0" distL="0" distR="0">
            <wp:extent cx="6115050" cy="5629275"/>
            <wp:effectExtent l="0" t="0" r="0" b="9525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62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123" w:rsidRPr="00347F93" w:rsidRDefault="005B3123" w:rsidP="005B3123">
      <w:pPr>
        <w:jc w:val="center"/>
        <w:rPr>
          <w:rFonts w:ascii="Century Gothic" w:hAnsi="Century Gothic" w:cs="Arial"/>
          <w:i/>
          <w:iCs/>
          <w:color w:val="000000"/>
          <w:sz w:val="18"/>
          <w:szCs w:val="18"/>
          <w:highlight w:val="yellow"/>
          <w:lang w:val="pt-BR"/>
        </w:rPr>
      </w:pPr>
      <w:r w:rsidRPr="000D49E0"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  <w:t>Fonte: Unioncamere – Ministero del lavoro e delle politiche sociali - Sistema Informativo Excelsior, 2025</w:t>
      </w:r>
    </w:p>
    <w:p w:rsidR="00763DEB" w:rsidRDefault="00763DEB" w:rsidP="00763DEB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/>
          <w:sz w:val="20"/>
        </w:rPr>
      </w:pPr>
    </w:p>
    <w:p w:rsidR="00763DEB" w:rsidRPr="00A07171" w:rsidRDefault="00763DEB" w:rsidP="00763DEB">
      <w:pPr>
        <w:shd w:val="clear" w:color="auto" w:fill="FFFFFF"/>
        <w:rPr>
          <w:rFonts w:ascii="Calibri" w:hAnsi="Calibri" w:cs="Calibri"/>
          <w:i/>
          <w:sz w:val="18"/>
          <w:szCs w:val="24"/>
        </w:rPr>
      </w:pPr>
      <w:proofErr w:type="gramStart"/>
      <w:r w:rsidRPr="00A07171">
        <w:rPr>
          <w:rFonts w:ascii="Calibri" w:hAnsi="Calibri" w:cs="Calibri"/>
          <w:i/>
          <w:sz w:val="18"/>
          <w:szCs w:val="24"/>
        </w:rPr>
        <w:t>E’</w:t>
      </w:r>
      <w:proofErr w:type="gramEnd"/>
      <w:r w:rsidRPr="00A07171">
        <w:rPr>
          <w:rFonts w:ascii="Calibri" w:hAnsi="Calibri" w:cs="Calibri"/>
          <w:i/>
          <w:sz w:val="18"/>
          <w:szCs w:val="24"/>
        </w:rPr>
        <w:t xml:space="preserve"> la sintesi di quanto emerge dall’analisi del sistema informativo Excelsior, realizzata da Unioncamere e Ministero del lavoro e delle politiche sociali</w:t>
      </w:r>
      <w:r w:rsidR="00BA33B3" w:rsidRPr="00A07171">
        <w:rPr>
          <w:rFonts w:ascii="Calibri" w:hAnsi="Calibri" w:cs="Calibri"/>
          <w:i/>
          <w:sz w:val="18"/>
          <w:szCs w:val="24"/>
        </w:rPr>
        <w:t xml:space="preserve"> grazie al programma nazionale giovani, donne e lavoro cofinanziato dall’Unione europea, </w:t>
      </w:r>
      <w:r w:rsidRPr="00A07171">
        <w:rPr>
          <w:rFonts w:ascii="Calibri" w:hAnsi="Calibri" w:cs="Calibri"/>
          <w:i/>
          <w:sz w:val="18"/>
          <w:szCs w:val="24"/>
        </w:rPr>
        <w:t>che offre un monitoraggio delle previsioni occupazionali delle imprese del settore primario, industria e servizi</w:t>
      </w:r>
      <w:r w:rsidR="00BA33B3" w:rsidRPr="00A07171">
        <w:rPr>
          <w:rFonts w:ascii="Calibri" w:hAnsi="Calibri" w:cs="Calibri"/>
          <w:i/>
          <w:sz w:val="18"/>
          <w:szCs w:val="24"/>
        </w:rPr>
        <w:t xml:space="preserve">. </w:t>
      </w:r>
      <w:r w:rsidRPr="00A07171">
        <w:rPr>
          <w:rFonts w:ascii="Calibri" w:hAnsi="Calibri" w:cs="Calibri"/>
          <w:i/>
          <w:sz w:val="18"/>
          <w:szCs w:val="24"/>
        </w:rPr>
        <w:t>Le informazioni presentate sono basate su</w:t>
      </w:r>
      <w:r w:rsidR="00BA33B3" w:rsidRPr="00A07171">
        <w:rPr>
          <w:rFonts w:ascii="Calibri" w:hAnsi="Calibri" w:cs="Calibri"/>
          <w:i/>
          <w:sz w:val="18"/>
          <w:szCs w:val="24"/>
        </w:rPr>
        <w:t>lle indagini mensili svolte fino a settembre 202 (</w:t>
      </w:r>
      <w:r w:rsidR="00BA33B3" w:rsidRPr="00A07171">
        <w:rPr>
          <w:rFonts w:ascii="Calibri" w:hAnsi="Calibri" w:cs="Calibri"/>
          <w:i/>
          <w:sz w:val="18"/>
          <w:szCs w:val="24"/>
        </w:rPr>
        <w:t>che hanno com</w:t>
      </w:r>
      <w:r w:rsidR="00BA33B3" w:rsidRPr="00A07171">
        <w:rPr>
          <w:rFonts w:ascii="Calibri" w:hAnsi="Calibri" w:cs="Calibri"/>
          <w:i/>
          <w:sz w:val="18"/>
          <w:szCs w:val="24"/>
        </w:rPr>
        <w:t xml:space="preserve">e periodo previsionale i mesi dell’ultimo trimestre) </w:t>
      </w:r>
      <w:r w:rsidRPr="00A07171">
        <w:rPr>
          <w:rFonts w:ascii="Calibri" w:hAnsi="Calibri" w:cs="Calibri"/>
          <w:i/>
          <w:sz w:val="18"/>
          <w:szCs w:val="24"/>
        </w:rPr>
        <w:t xml:space="preserve">da circa </w:t>
      </w:r>
      <w:r w:rsidR="00BA33B3" w:rsidRPr="00A07171">
        <w:rPr>
          <w:rFonts w:ascii="Calibri" w:hAnsi="Calibri" w:cs="Calibri"/>
          <w:i/>
          <w:sz w:val="18"/>
          <w:szCs w:val="24"/>
        </w:rPr>
        <w:t>294.000</w:t>
      </w:r>
      <w:r w:rsidRPr="00A07171">
        <w:rPr>
          <w:rFonts w:ascii="Calibri" w:hAnsi="Calibri" w:cs="Calibri"/>
          <w:i/>
          <w:sz w:val="18"/>
          <w:szCs w:val="24"/>
        </w:rPr>
        <w:t xml:space="preserve"> imprese nazionali</w:t>
      </w:r>
      <w:r w:rsidR="00BA33B3" w:rsidRPr="00A07171">
        <w:rPr>
          <w:rFonts w:ascii="Calibri" w:hAnsi="Calibri" w:cs="Calibri"/>
          <w:i/>
          <w:sz w:val="18"/>
          <w:szCs w:val="24"/>
        </w:rPr>
        <w:t>, campione rappresentativo dei diversi settori</w:t>
      </w:r>
      <w:r w:rsidRPr="00A07171">
        <w:rPr>
          <w:rFonts w:ascii="Calibri" w:hAnsi="Calibri" w:cs="Calibri"/>
          <w:i/>
          <w:sz w:val="18"/>
          <w:szCs w:val="24"/>
        </w:rPr>
        <w:t xml:space="preserve">. Le analisi si focalizzano sulle principali caratteristiche delle entrate programmate </w:t>
      </w:r>
      <w:r w:rsidR="00BA33B3" w:rsidRPr="00A07171">
        <w:rPr>
          <w:rFonts w:ascii="Calibri" w:hAnsi="Calibri" w:cs="Calibri"/>
          <w:i/>
          <w:sz w:val="18"/>
          <w:szCs w:val="24"/>
        </w:rPr>
        <w:t>nell’anno</w:t>
      </w:r>
      <w:r w:rsidRPr="00A07171">
        <w:rPr>
          <w:rFonts w:ascii="Calibri" w:hAnsi="Calibri" w:cs="Calibri"/>
          <w:i/>
          <w:sz w:val="18"/>
          <w:szCs w:val="24"/>
        </w:rPr>
        <w:t xml:space="preserve"> </w:t>
      </w:r>
      <w:r w:rsidR="00BA33B3" w:rsidRPr="00A07171">
        <w:rPr>
          <w:rFonts w:ascii="Calibri" w:hAnsi="Calibri" w:cs="Calibri"/>
          <w:i/>
          <w:sz w:val="18"/>
          <w:szCs w:val="24"/>
        </w:rPr>
        <w:t>2025.</w:t>
      </w:r>
    </w:p>
    <w:p w:rsidR="000B7BF4" w:rsidRPr="00A07171" w:rsidRDefault="000B7BF4" w:rsidP="00763DEB">
      <w:pPr>
        <w:pStyle w:val="NormaleWeb"/>
        <w:shd w:val="clear" w:color="auto" w:fill="FFFFFF"/>
        <w:spacing w:before="0" w:beforeAutospacing="0" w:after="0" w:afterAutospacing="0"/>
      </w:pPr>
    </w:p>
    <w:p w:rsidR="00763DEB" w:rsidRPr="00A07171" w:rsidRDefault="007B3D98" w:rsidP="00763DEB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/>
          <w:sz w:val="20"/>
        </w:rPr>
      </w:pPr>
      <w:hyperlink r:id="rId11" w:history="1">
        <w:r w:rsidR="00763DEB" w:rsidRPr="00A07171">
          <w:rPr>
            <w:rStyle w:val="Collegamentoipertestuale"/>
            <w:rFonts w:ascii="Calibri" w:hAnsi="Calibri"/>
            <w:color w:val="auto"/>
            <w:sz w:val="20"/>
          </w:rPr>
          <w:t>Clicca qui per consultare il Bollettino Statistico e per le Tavole Provinciali.</w:t>
        </w:r>
      </w:hyperlink>
    </w:p>
    <w:p w:rsidR="00FD0612" w:rsidRPr="00A07171" w:rsidRDefault="00763DEB">
      <w:pPr>
        <w:rPr>
          <w:rFonts w:ascii="Calibri" w:hAnsi="Calibri" w:cs="Calibri"/>
          <w:bCs/>
          <w:sz w:val="20"/>
          <w:szCs w:val="24"/>
        </w:rPr>
      </w:pPr>
      <w:r w:rsidRPr="00A07171">
        <w:rPr>
          <w:rFonts w:ascii="Calibri" w:hAnsi="Calibri" w:cs="Calibri"/>
          <w:bCs/>
          <w:sz w:val="20"/>
          <w:szCs w:val="24"/>
        </w:rPr>
        <w:t xml:space="preserve">Per informazioni: Ufficio Statistica e Prezzi </w:t>
      </w:r>
    </w:p>
    <w:sectPr w:rsidR="00FD0612" w:rsidRPr="00A07171" w:rsidSect="002454FD">
      <w:headerReference w:type="default" r:id="rId12"/>
      <w:pgSz w:w="11909" w:h="16834" w:code="9"/>
      <w:pgMar w:top="1134" w:right="1134" w:bottom="1134" w:left="1134" w:header="720" w:footer="720" w:gutter="0"/>
      <w:paperSrc w:first="4" w:other="4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D98" w:rsidRDefault="007B3D98" w:rsidP="00135C4B">
      <w:r>
        <w:separator/>
      </w:r>
    </w:p>
  </w:endnote>
  <w:endnote w:type="continuationSeparator" w:id="0">
    <w:p w:rsidR="007B3D98" w:rsidRDefault="007B3D98" w:rsidP="0013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D98" w:rsidRDefault="007B3D98" w:rsidP="00135C4B">
      <w:r>
        <w:separator/>
      </w:r>
    </w:p>
  </w:footnote>
  <w:footnote w:type="continuationSeparator" w:id="0">
    <w:p w:rsidR="007B3D98" w:rsidRDefault="007B3D98" w:rsidP="00135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C4B" w:rsidRDefault="00135C4B" w:rsidP="00135C4B">
    <w:pPr>
      <w:pStyle w:val="Intestazione"/>
    </w:pPr>
    <w:r>
      <w:rPr>
        <w:noProof/>
      </w:rPr>
      <w:drawing>
        <wp:inline distT="0" distB="0" distL="0" distR="0">
          <wp:extent cx="1927314" cy="375047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lerno-marchio-colore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753" cy="437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2454FD">
      <w:t xml:space="preserve"> </w:t>
    </w:r>
    <w:r>
      <w:t xml:space="preserve"> </w:t>
    </w:r>
    <w:r w:rsidR="002454FD">
      <w:t xml:space="preserve"> </w:t>
    </w:r>
    <w:r>
      <w:t xml:space="preserve"> </w:t>
    </w:r>
    <w:r>
      <w:rPr>
        <w:noProof/>
      </w:rPr>
      <w:drawing>
        <wp:inline distT="0" distB="0" distL="0" distR="0" wp14:anchorId="3D5B4C33" wp14:editId="72871532">
          <wp:extent cx="817222" cy="454395"/>
          <wp:effectExtent l="0" t="0" r="2540" b="3175"/>
          <wp:docPr id="6" name="Immagine 6" descr="Logo Excels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header-excelsior" descr="Logo Excelsi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364" cy="508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="002454FD">
      <w:t xml:space="preserve">  </w:t>
    </w:r>
    <w:r>
      <w:rPr>
        <w:noProof/>
      </w:rPr>
      <w:drawing>
        <wp:inline distT="0" distB="0" distL="0" distR="0" wp14:anchorId="09D00A75" wp14:editId="0D2DEEB1">
          <wp:extent cx="703007" cy="771410"/>
          <wp:effectExtent l="0" t="0" r="1905" b="0"/>
          <wp:docPr id="3" name="Immagine 3" descr="Coesione It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esione Ital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44" cy="831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54FD">
      <w:t xml:space="preserve"> </w:t>
    </w:r>
    <w:r>
      <w:t xml:space="preserve"> </w:t>
    </w:r>
    <w:r w:rsidR="002454FD">
      <w:t xml:space="preserve"> </w:t>
    </w:r>
    <w:r>
      <w:t xml:space="preserve">  </w:t>
    </w:r>
    <w:r>
      <w:rPr>
        <w:noProof/>
      </w:rPr>
      <w:drawing>
        <wp:inline distT="0" distB="0" distL="0" distR="0" wp14:anchorId="6746C5E4" wp14:editId="2122B7C3">
          <wp:extent cx="783771" cy="668577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341" cy="7125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2454FD">
      <w:t xml:space="preserve"> </w:t>
    </w:r>
    <w:r>
      <w:t xml:space="preserve"> </w:t>
    </w:r>
    <w:r w:rsidR="002454FD">
      <w:t xml:space="preserve"> </w:t>
    </w:r>
    <w:r>
      <w:t xml:space="preserve"> </w:t>
    </w:r>
    <w:r>
      <w:rPr>
        <w:noProof/>
      </w:rPr>
      <w:drawing>
        <wp:inline distT="0" distB="0" distL="0" distR="0" wp14:anchorId="5F557150" wp14:editId="6BE904DE">
          <wp:extent cx="729177" cy="617210"/>
          <wp:effectExtent l="0" t="0" r="0" b="0"/>
          <wp:docPr id="4" name="Immagine 4" descr="Ministero del LAVORO e delle POLITICHE SOCI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inistero del LAVORO e delle POLITICHE SOCIALI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28" cy="650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53E28"/>
    <w:multiLevelType w:val="hybridMultilevel"/>
    <w:tmpl w:val="8696C818"/>
    <w:lvl w:ilvl="0" w:tplc="E1AC3D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C4B"/>
    <w:rsid w:val="00005917"/>
    <w:rsid w:val="00020209"/>
    <w:rsid w:val="00091C60"/>
    <w:rsid w:val="000A5012"/>
    <w:rsid w:val="000B7BF4"/>
    <w:rsid w:val="000E21C1"/>
    <w:rsid w:val="00135C4B"/>
    <w:rsid w:val="0014177A"/>
    <w:rsid w:val="00172B04"/>
    <w:rsid w:val="001860AC"/>
    <w:rsid w:val="00191F72"/>
    <w:rsid w:val="00195A74"/>
    <w:rsid w:val="001D1FE9"/>
    <w:rsid w:val="001E078A"/>
    <w:rsid w:val="00217CA8"/>
    <w:rsid w:val="002333B3"/>
    <w:rsid w:val="002431E9"/>
    <w:rsid w:val="002454FD"/>
    <w:rsid w:val="002F5151"/>
    <w:rsid w:val="00325977"/>
    <w:rsid w:val="003A3E66"/>
    <w:rsid w:val="003B4ECD"/>
    <w:rsid w:val="003C09D1"/>
    <w:rsid w:val="003F54AF"/>
    <w:rsid w:val="00446B60"/>
    <w:rsid w:val="005039F1"/>
    <w:rsid w:val="005372CC"/>
    <w:rsid w:val="005812F2"/>
    <w:rsid w:val="005B2BB8"/>
    <w:rsid w:val="005B3123"/>
    <w:rsid w:val="00647459"/>
    <w:rsid w:val="006E612E"/>
    <w:rsid w:val="00707418"/>
    <w:rsid w:val="00707835"/>
    <w:rsid w:val="0073799B"/>
    <w:rsid w:val="00760B54"/>
    <w:rsid w:val="00763DEB"/>
    <w:rsid w:val="007B3D98"/>
    <w:rsid w:val="007C6218"/>
    <w:rsid w:val="00887930"/>
    <w:rsid w:val="008D0F27"/>
    <w:rsid w:val="0093607F"/>
    <w:rsid w:val="00984DE5"/>
    <w:rsid w:val="00993536"/>
    <w:rsid w:val="009E52CC"/>
    <w:rsid w:val="00A07171"/>
    <w:rsid w:val="00A073D4"/>
    <w:rsid w:val="00A81367"/>
    <w:rsid w:val="00B4676F"/>
    <w:rsid w:val="00BA33B3"/>
    <w:rsid w:val="00BF4E39"/>
    <w:rsid w:val="00C0738D"/>
    <w:rsid w:val="00C17953"/>
    <w:rsid w:val="00C20276"/>
    <w:rsid w:val="00C56EFB"/>
    <w:rsid w:val="00C7106B"/>
    <w:rsid w:val="00CA3054"/>
    <w:rsid w:val="00D03AA0"/>
    <w:rsid w:val="00DA67E8"/>
    <w:rsid w:val="00DA6973"/>
    <w:rsid w:val="00E52128"/>
    <w:rsid w:val="00EF4143"/>
    <w:rsid w:val="00FA7B80"/>
    <w:rsid w:val="00FD0612"/>
    <w:rsid w:val="00FE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4E46C3"/>
  <w15:chartTrackingRefBased/>
  <w15:docId w15:val="{386AD9E0-FE2A-4D6B-B9B7-2BA45255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HAnsi" w:hAnsi="Trebuchet MS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63DEB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5812F2"/>
    <w:pPr>
      <w:keepNext/>
      <w:keepLines/>
      <w:spacing w:after="100"/>
      <w:outlineLvl w:val="1"/>
    </w:pPr>
    <w:rPr>
      <w:rFonts w:eastAsiaTheme="majorEastAsia" w:cstheme="majorBidi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812F2"/>
    <w:rPr>
      <w:rFonts w:ascii="Palatino Linotype" w:eastAsiaTheme="majorEastAsia" w:hAnsi="Palatino Linotype" w:cstheme="majorBidi"/>
      <w:b/>
      <w:sz w:val="24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135C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5C4B"/>
  </w:style>
  <w:style w:type="paragraph" w:styleId="Pidipagina">
    <w:name w:val="footer"/>
    <w:basedOn w:val="Normale"/>
    <w:link w:val="PidipaginaCarattere"/>
    <w:uiPriority w:val="99"/>
    <w:unhideWhenUsed/>
    <w:rsid w:val="00135C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5C4B"/>
  </w:style>
  <w:style w:type="paragraph" w:styleId="NormaleWeb">
    <w:name w:val="Normal (Web)"/>
    <w:basedOn w:val="Normale"/>
    <w:rsid w:val="00763DEB"/>
    <w:pPr>
      <w:spacing w:before="100" w:beforeAutospacing="1" w:after="100" w:afterAutospacing="1"/>
      <w:jc w:val="left"/>
    </w:pPr>
    <w:rPr>
      <w:szCs w:val="24"/>
    </w:rPr>
  </w:style>
  <w:style w:type="character" w:styleId="Collegamentoipertestuale">
    <w:name w:val="Hyperlink"/>
    <w:rsid w:val="00763DE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41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418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a.camcom.it/informazione-economica/sistema-informativo-excelsior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Flaminio Mariano</dc:creator>
  <cp:keywords/>
  <dc:description/>
  <cp:lastModifiedBy>Celestino Sofia</cp:lastModifiedBy>
  <cp:revision>13</cp:revision>
  <cp:lastPrinted>2025-12-16T11:53:00Z</cp:lastPrinted>
  <dcterms:created xsi:type="dcterms:W3CDTF">2025-12-15T12:25:00Z</dcterms:created>
  <dcterms:modified xsi:type="dcterms:W3CDTF">2025-12-16T14:08:00Z</dcterms:modified>
</cp:coreProperties>
</file>