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57D3" w14:textId="77777777" w:rsidR="006D32C9" w:rsidRDefault="006D32C9" w:rsidP="006D32C9">
      <w:pPr>
        <w:shd w:val="clear" w:color="auto" w:fill="FFFFFF"/>
        <w:spacing w:after="0" w:line="240" w:lineRule="auto"/>
        <w:jc w:val="center"/>
        <w:rPr>
          <w:rFonts w:asciiTheme="minorHAnsi" w:hAnsiTheme="minorHAnsi" w:cstheme="minorHAnsi"/>
          <w:b/>
          <w:bCs/>
          <w:sz w:val="18"/>
          <w:szCs w:val="18"/>
          <w:u w:val="single"/>
          <w:lang w:eastAsia="it-IT"/>
        </w:rPr>
      </w:pPr>
      <w:r>
        <w:rPr>
          <w:rFonts w:asciiTheme="minorHAnsi" w:hAnsiTheme="minorHAnsi" w:cstheme="minorHAnsi"/>
          <w:b/>
          <w:bCs/>
          <w:sz w:val="18"/>
          <w:szCs w:val="18"/>
          <w:u w:val="single"/>
          <w:lang w:eastAsia="it-IT"/>
        </w:rPr>
        <w:t>TREDICESIMO</w:t>
      </w:r>
      <w:r w:rsidRPr="00B27C3C">
        <w:rPr>
          <w:rFonts w:asciiTheme="minorHAnsi" w:hAnsiTheme="minorHAnsi" w:cstheme="minorHAnsi"/>
          <w:b/>
          <w:bCs/>
          <w:sz w:val="18"/>
          <w:szCs w:val="18"/>
          <w:u w:val="single"/>
          <w:lang w:eastAsia="it-IT"/>
        </w:rPr>
        <w:t xml:space="preserve"> RAPPORTO GREENITALY DI FONDAZIONE SYMBOLA E UNIONCAMERE</w:t>
      </w:r>
    </w:p>
    <w:p w14:paraId="1B5D1957" w14:textId="77777777" w:rsidR="006D32C9" w:rsidRPr="00601835" w:rsidRDefault="006D32C9" w:rsidP="006D32C9">
      <w:pPr>
        <w:shd w:val="clear" w:color="auto" w:fill="FFFFFF"/>
        <w:spacing w:after="0" w:line="240" w:lineRule="auto"/>
        <w:jc w:val="center"/>
        <w:rPr>
          <w:rFonts w:ascii="Arial" w:hAnsi="Arial" w:cs="Arial"/>
          <w:b/>
          <w:bCs/>
          <w:sz w:val="16"/>
          <w:szCs w:val="16"/>
          <w:lang w:eastAsia="it-IT"/>
        </w:rPr>
      </w:pPr>
    </w:p>
    <w:p w14:paraId="5DA1D05B" w14:textId="7D5A9276" w:rsidR="006D32C9" w:rsidRPr="00B919AC" w:rsidRDefault="006D32C9" w:rsidP="006D32C9">
      <w:pPr>
        <w:shd w:val="clear" w:color="auto" w:fill="FFFFFF"/>
        <w:spacing w:after="0" w:line="240" w:lineRule="auto"/>
        <w:jc w:val="center"/>
        <w:rPr>
          <w:rFonts w:asciiTheme="minorHAnsi" w:eastAsiaTheme="minorHAnsi" w:hAnsiTheme="minorHAnsi" w:cstheme="minorHAnsi"/>
          <w:sz w:val="20"/>
          <w:szCs w:val="20"/>
        </w:rPr>
      </w:pPr>
      <w:r w:rsidRPr="00B919AC">
        <w:rPr>
          <w:rFonts w:asciiTheme="minorHAnsi" w:eastAsiaTheme="minorHAnsi" w:hAnsiTheme="minorHAnsi" w:cstheme="minorHAnsi"/>
          <w:sz w:val="20"/>
          <w:szCs w:val="20"/>
        </w:rPr>
        <w:t>UN’ECONOMIA A MISURA D’UOMO CONTRO L</w:t>
      </w:r>
      <w:r w:rsidR="004A6E5A" w:rsidRPr="00B919AC">
        <w:rPr>
          <w:rFonts w:asciiTheme="minorHAnsi" w:eastAsiaTheme="minorHAnsi" w:hAnsiTheme="minorHAnsi" w:cstheme="minorHAnsi"/>
          <w:sz w:val="20"/>
          <w:szCs w:val="20"/>
        </w:rPr>
        <w:t>E</w:t>
      </w:r>
      <w:r w:rsidRPr="00B919AC">
        <w:rPr>
          <w:rFonts w:asciiTheme="minorHAnsi" w:eastAsiaTheme="minorHAnsi" w:hAnsiTheme="minorHAnsi" w:cstheme="minorHAnsi"/>
          <w:sz w:val="20"/>
          <w:szCs w:val="20"/>
        </w:rPr>
        <w:t xml:space="preserve"> CRISI </w:t>
      </w:r>
    </w:p>
    <w:p w14:paraId="23C32447" w14:textId="77777777" w:rsidR="006D32C9" w:rsidRPr="00B919AC" w:rsidRDefault="006D32C9" w:rsidP="006D32C9">
      <w:pPr>
        <w:shd w:val="clear" w:color="auto" w:fill="FFFFFF"/>
        <w:spacing w:after="0" w:line="240" w:lineRule="auto"/>
        <w:jc w:val="center"/>
        <w:rPr>
          <w:rFonts w:ascii="AktivGroteskCorp-Regular" w:eastAsiaTheme="minorHAnsi" w:hAnsi="AktivGroteskCorp-Regular" w:cs="AktivGroteskCorp-Regular"/>
          <w:sz w:val="24"/>
          <w:szCs w:val="24"/>
        </w:rPr>
      </w:pPr>
    </w:p>
    <w:p w14:paraId="10537CE1" w14:textId="395B0D34" w:rsidR="006D32C9" w:rsidRPr="00B919AC" w:rsidRDefault="006D32C9" w:rsidP="006D32C9">
      <w:pPr>
        <w:shd w:val="clear" w:color="auto" w:fill="FFFFFF"/>
        <w:spacing w:after="0" w:line="240" w:lineRule="auto"/>
        <w:jc w:val="center"/>
        <w:rPr>
          <w:rFonts w:asciiTheme="minorHAnsi" w:hAnsiTheme="minorHAnsi" w:cstheme="minorHAnsi"/>
          <w:b/>
          <w:bCs/>
          <w:sz w:val="18"/>
          <w:szCs w:val="18"/>
          <w:lang w:eastAsia="it-IT"/>
        </w:rPr>
      </w:pPr>
      <w:r w:rsidRPr="00B919AC">
        <w:rPr>
          <w:rFonts w:asciiTheme="minorHAnsi" w:hAnsiTheme="minorHAnsi" w:cstheme="minorHAnsi"/>
          <w:b/>
          <w:bCs/>
          <w:sz w:val="18"/>
          <w:szCs w:val="18"/>
          <w:lang w:eastAsia="it-IT"/>
        </w:rPr>
        <w:t>LE IMPRESE GREEN AFFRONTANO MEGLIO L</w:t>
      </w:r>
      <w:r w:rsidR="004A6E5A" w:rsidRPr="00B919AC">
        <w:rPr>
          <w:rFonts w:asciiTheme="minorHAnsi" w:hAnsiTheme="minorHAnsi" w:cstheme="minorHAnsi"/>
          <w:b/>
          <w:bCs/>
          <w:sz w:val="18"/>
          <w:szCs w:val="18"/>
          <w:lang w:eastAsia="it-IT"/>
        </w:rPr>
        <w:t>E</w:t>
      </w:r>
      <w:r w:rsidRPr="00B919AC">
        <w:rPr>
          <w:rFonts w:asciiTheme="minorHAnsi" w:hAnsiTheme="minorHAnsi" w:cstheme="minorHAnsi"/>
          <w:b/>
          <w:bCs/>
          <w:sz w:val="18"/>
          <w:szCs w:val="18"/>
          <w:lang w:eastAsia="it-IT"/>
        </w:rPr>
        <w:t xml:space="preserve"> CRISI</w:t>
      </w:r>
    </w:p>
    <w:p w14:paraId="6DEA8958" w14:textId="77777777"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p>
    <w:p w14:paraId="1B720BC6" w14:textId="5D1AB789" w:rsidR="00451743" w:rsidRDefault="00451743" w:rsidP="006D32C9">
      <w:pPr>
        <w:shd w:val="clear" w:color="auto" w:fill="FFFFFF"/>
        <w:spacing w:after="0" w:line="240" w:lineRule="auto"/>
        <w:jc w:val="center"/>
        <w:rPr>
          <w:rFonts w:asciiTheme="minorHAnsi" w:hAnsiTheme="minorHAnsi" w:cstheme="minorHAnsi"/>
          <w:b/>
          <w:bCs/>
          <w:sz w:val="18"/>
          <w:szCs w:val="18"/>
          <w:lang w:eastAsia="it-IT"/>
        </w:rPr>
      </w:pPr>
      <w:r>
        <w:rPr>
          <w:rFonts w:asciiTheme="minorHAnsi" w:hAnsiTheme="minorHAnsi" w:cstheme="minorHAnsi"/>
          <w:b/>
          <w:bCs/>
          <w:sz w:val="18"/>
          <w:szCs w:val="18"/>
          <w:lang w:eastAsia="it-IT"/>
        </w:rPr>
        <w:t xml:space="preserve">LA GREEN ECONOMY ACCELERA: </w:t>
      </w:r>
      <w:r w:rsidR="006D32C9">
        <w:rPr>
          <w:rFonts w:asciiTheme="minorHAnsi" w:hAnsiTheme="minorHAnsi" w:cstheme="minorHAnsi"/>
          <w:b/>
          <w:bCs/>
          <w:sz w:val="18"/>
          <w:szCs w:val="18"/>
          <w:lang w:eastAsia="it-IT"/>
        </w:rPr>
        <w:t>53</w:t>
      </w:r>
      <w:r w:rsidR="006D32C9" w:rsidRPr="00B27C3C">
        <w:rPr>
          <w:rFonts w:asciiTheme="minorHAnsi" w:hAnsiTheme="minorHAnsi" w:cstheme="minorHAnsi"/>
          <w:b/>
          <w:bCs/>
          <w:sz w:val="18"/>
          <w:szCs w:val="18"/>
          <w:lang w:eastAsia="it-IT"/>
        </w:rPr>
        <w:t xml:space="preserve">1 MILA IMPRESE ITALIANE NEGLI ULTIMI 5 ANNI </w:t>
      </w:r>
      <w:r>
        <w:rPr>
          <w:rFonts w:asciiTheme="minorHAnsi" w:hAnsiTheme="minorHAnsi" w:cstheme="minorHAnsi"/>
          <w:b/>
          <w:bCs/>
          <w:sz w:val="18"/>
          <w:szCs w:val="18"/>
          <w:lang w:eastAsia="it-IT"/>
        </w:rPr>
        <w:t>(</w:t>
      </w:r>
      <w:r w:rsidR="00AC239B">
        <w:rPr>
          <w:rFonts w:asciiTheme="minorHAnsi" w:hAnsiTheme="minorHAnsi" w:cstheme="minorHAnsi"/>
          <w:b/>
          <w:bCs/>
          <w:sz w:val="18"/>
          <w:szCs w:val="18"/>
          <w:lang w:eastAsia="it-IT"/>
        </w:rPr>
        <w:t>2017-2021)</w:t>
      </w:r>
    </w:p>
    <w:p w14:paraId="59A3EB5B" w14:textId="0627838F"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r w:rsidRPr="00B27C3C">
        <w:rPr>
          <w:rFonts w:asciiTheme="minorHAnsi" w:hAnsiTheme="minorHAnsi" w:cstheme="minorHAnsi"/>
          <w:b/>
          <w:bCs/>
          <w:sz w:val="18"/>
          <w:szCs w:val="18"/>
          <w:lang w:eastAsia="it-IT"/>
        </w:rPr>
        <w:t>HANNO INVESTITO SULLA SOSTENIBILITÀ PER AFFRONTARE IL FUTURO</w:t>
      </w:r>
      <w:r w:rsidR="00451743">
        <w:rPr>
          <w:rFonts w:asciiTheme="minorHAnsi" w:hAnsiTheme="minorHAnsi" w:cstheme="minorHAnsi"/>
          <w:b/>
          <w:bCs/>
          <w:sz w:val="18"/>
          <w:szCs w:val="18"/>
          <w:lang w:eastAsia="it-IT"/>
        </w:rPr>
        <w:t xml:space="preserve"> CON UN AUMENTO DEL 51% RISPETTO AL PERIODO DI RILEVAZIONE PRECEDENTE (2014-2018)</w:t>
      </w:r>
    </w:p>
    <w:p w14:paraId="0088DB9A" w14:textId="77777777"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p>
    <w:p w14:paraId="1D5D58BF" w14:textId="77777777" w:rsidR="006D32C9" w:rsidRDefault="006D32C9" w:rsidP="006D32C9">
      <w:pPr>
        <w:shd w:val="clear" w:color="auto" w:fill="FFFFFF"/>
        <w:spacing w:after="0" w:line="240" w:lineRule="auto"/>
        <w:jc w:val="center"/>
        <w:rPr>
          <w:rFonts w:asciiTheme="minorHAnsi" w:hAnsiTheme="minorHAnsi" w:cstheme="minorHAnsi"/>
          <w:b/>
          <w:bCs/>
          <w:sz w:val="18"/>
          <w:szCs w:val="18"/>
          <w:lang w:eastAsia="it-IT"/>
        </w:rPr>
      </w:pPr>
      <w:r w:rsidRPr="00B27C3C">
        <w:rPr>
          <w:rFonts w:asciiTheme="minorHAnsi" w:hAnsiTheme="minorHAnsi" w:cstheme="minorHAnsi"/>
          <w:b/>
          <w:bCs/>
          <w:sz w:val="18"/>
          <w:szCs w:val="18"/>
          <w:lang w:eastAsia="it-IT"/>
        </w:rPr>
        <w:t>IN ITALIA 3,1 MILIONI DI GREEN JOBS, IL 13,7% DEGLI OCCUPATI</w:t>
      </w:r>
    </w:p>
    <w:p w14:paraId="21225AE7" w14:textId="77777777" w:rsidR="006D32C9" w:rsidRDefault="006D32C9" w:rsidP="006D32C9">
      <w:pPr>
        <w:shd w:val="clear" w:color="auto" w:fill="FFFFFF"/>
        <w:spacing w:after="0" w:line="240" w:lineRule="auto"/>
        <w:rPr>
          <w:rFonts w:asciiTheme="minorHAnsi" w:hAnsiTheme="minorHAnsi" w:cstheme="minorHAnsi"/>
          <w:b/>
          <w:bCs/>
          <w:sz w:val="18"/>
          <w:szCs w:val="18"/>
          <w:lang w:eastAsia="it-IT"/>
        </w:rPr>
      </w:pPr>
    </w:p>
    <w:p w14:paraId="3E0601C8" w14:textId="77777777"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p>
    <w:p w14:paraId="077F3E26" w14:textId="6D3D1B66"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r w:rsidRPr="00B27C3C">
        <w:rPr>
          <w:rFonts w:asciiTheme="minorHAnsi" w:hAnsiTheme="minorHAnsi" w:cstheme="minorHAnsi"/>
          <w:b/>
          <w:bCs/>
          <w:sz w:val="18"/>
          <w:szCs w:val="18"/>
          <w:lang w:eastAsia="it-IT"/>
        </w:rPr>
        <w:t xml:space="preserve">L’ITALIA È </w:t>
      </w:r>
      <w:r>
        <w:rPr>
          <w:rFonts w:asciiTheme="minorHAnsi" w:hAnsiTheme="minorHAnsi" w:cstheme="minorHAnsi"/>
          <w:b/>
          <w:bCs/>
          <w:sz w:val="18"/>
          <w:szCs w:val="18"/>
          <w:lang w:eastAsia="it-IT"/>
        </w:rPr>
        <w:t>LEADER</w:t>
      </w:r>
      <w:r w:rsidRPr="00B27C3C">
        <w:rPr>
          <w:rFonts w:asciiTheme="minorHAnsi" w:hAnsiTheme="minorHAnsi" w:cstheme="minorHAnsi"/>
          <w:b/>
          <w:bCs/>
          <w:sz w:val="18"/>
          <w:szCs w:val="18"/>
          <w:lang w:eastAsia="it-IT"/>
        </w:rPr>
        <w:t xml:space="preserve"> NELL’ECONOMIA CIRCOLARE E HA LA PIÙ ALTA PERCENTUALE DI </w:t>
      </w:r>
      <w:r>
        <w:rPr>
          <w:rFonts w:asciiTheme="minorHAnsi" w:hAnsiTheme="minorHAnsi" w:cstheme="minorHAnsi"/>
          <w:b/>
          <w:bCs/>
          <w:sz w:val="18"/>
          <w:szCs w:val="18"/>
          <w:lang w:eastAsia="it-IT"/>
        </w:rPr>
        <w:t xml:space="preserve">AVVIO A </w:t>
      </w:r>
      <w:r w:rsidRPr="00B27C3C">
        <w:rPr>
          <w:rFonts w:asciiTheme="minorHAnsi" w:hAnsiTheme="minorHAnsi" w:cstheme="minorHAnsi"/>
          <w:b/>
          <w:bCs/>
          <w:sz w:val="18"/>
          <w:szCs w:val="18"/>
          <w:lang w:eastAsia="it-IT"/>
        </w:rPr>
        <w:t xml:space="preserve">RICICLO SULLA TOTALITÀ DEI RIFIUTI: </w:t>
      </w:r>
      <w:r>
        <w:rPr>
          <w:rFonts w:asciiTheme="minorHAnsi" w:hAnsiTheme="minorHAnsi" w:cstheme="minorHAnsi"/>
          <w:b/>
          <w:bCs/>
          <w:sz w:val="18"/>
          <w:szCs w:val="18"/>
          <w:lang w:eastAsia="it-IT"/>
        </w:rPr>
        <w:t>L’83,4</w:t>
      </w:r>
      <w:r w:rsidRPr="00B27C3C">
        <w:rPr>
          <w:rFonts w:asciiTheme="minorHAnsi" w:hAnsiTheme="minorHAnsi" w:cstheme="minorHAnsi"/>
          <w:b/>
          <w:bCs/>
          <w:sz w:val="18"/>
          <w:szCs w:val="18"/>
          <w:lang w:eastAsia="it-IT"/>
        </w:rPr>
        <w:t xml:space="preserve">%, </w:t>
      </w:r>
      <w:r>
        <w:rPr>
          <w:rFonts w:asciiTheme="minorHAnsi" w:hAnsiTheme="minorHAnsi" w:cstheme="minorHAnsi"/>
          <w:b/>
          <w:bCs/>
          <w:sz w:val="18"/>
          <w:szCs w:val="18"/>
          <w:lang w:eastAsia="it-IT"/>
        </w:rPr>
        <w:t xml:space="preserve">30 PUNTI PERCENTUALI IN </w:t>
      </w:r>
      <w:r w:rsidR="00DA6255" w:rsidRPr="00B27C3C">
        <w:rPr>
          <w:rFonts w:asciiTheme="minorHAnsi" w:hAnsiTheme="minorHAnsi" w:cstheme="minorHAnsi"/>
          <w:b/>
          <w:bCs/>
          <w:sz w:val="18"/>
          <w:szCs w:val="18"/>
          <w:lang w:eastAsia="it-IT"/>
        </w:rPr>
        <w:t>PIÙ</w:t>
      </w:r>
      <w:r>
        <w:rPr>
          <w:rFonts w:asciiTheme="minorHAnsi" w:hAnsiTheme="minorHAnsi" w:cstheme="minorHAnsi"/>
          <w:b/>
          <w:bCs/>
          <w:sz w:val="18"/>
          <w:szCs w:val="18"/>
          <w:lang w:eastAsia="it-IT"/>
        </w:rPr>
        <w:t xml:space="preserve"> </w:t>
      </w:r>
      <w:r w:rsidRPr="00B27C3C">
        <w:rPr>
          <w:rFonts w:asciiTheme="minorHAnsi" w:hAnsiTheme="minorHAnsi" w:cstheme="minorHAnsi"/>
          <w:b/>
          <w:bCs/>
          <w:sz w:val="18"/>
          <w:szCs w:val="18"/>
          <w:lang w:eastAsia="it-IT"/>
        </w:rPr>
        <w:t>RISPETTO ALLA MEDIA EUROPEA</w:t>
      </w:r>
      <w:r>
        <w:rPr>
          <w:rFonts w:asciiTheme="minorHAnsi" w:hAnsiTheme="minorHAnsi" w:cstheme="minorHAnsi"/>
          <w:b/>
          <w:bCs/>
          <w:sz w:val="18"/>
          <w:szCs w:val="18"/>
          <w:lang w:eastAsia="it-IT"/>
        </w:rPr>
        <w:t xml:space="preserve"> </w:t>
      </w:r>
      <w:r w:rsidRPr="008F4BA3">
        <w:rPr>
          <w:rFonts w:asciiTheme="minorHAnsi" w:hAnsiTheme="minorHAnsi" w:cstheme="minorHAnsi"/>
          <w:b/>
          <w:bCs/>
          <w:sz w:val="18"/>
          <w:szCs w:val="18"/>
          <w:lang w:eastAsia="it-IT"/>
        </w:rPr>
        <w:t>CON</w:t>
      </w:r>
      <w:r>
        <w:rPr>
          <w:rFonts w:asciiTheme="minorHAnsi" w:hAnsiTheme="minorHAnsi" w:cstheme="minorHAnsi"/>
          <w:b/>
          <w:bCs/>
          <w:sz w:val="18"/>
          <w:szCs w:val="18"/>
          <w:lang w:eastAsia="it-IT"/>
        </w:rPr>
        <w:t xml:space="preserve"> UNA CRESCITA STORICA NELL’ IMPIEGO DI MATERIA SECONDA NEI SETTORI INDUSTRIALI NEL BIENNIO 2020-2021</w:t>
      </w:r>
    </w:p>
    <w:p w14:paraId="377FE390" w14:textId="77777777" w:rsidR="006D32C9" w:rsidRPr="00B27C3C" w:rsidRDefault="006D32C9" w:rsidP="006D32C9">
      <w:pPr>
        <w:shd w:val="clear" w:color="auto" w:fill="FFFFFF"/>
        <w:spacing w:after="0" w:line="240" w:lineRule="auto"/>
        <w:jc w:val="center"/>
        <w:rPr>
          <w:rFonts w:asciiTheme="minorHAnsi" w:hAnsiTheme="minorHAnsi" w:cstheme="minorHAnsi"/>
          <w:sz w:val="18"/>
          <w:szCs w:val="18"/>
          <w:lang w:eastAsia="it-IT"/>
        </w:rPr>
      </w:pPr>
    </w:p>
    <w:p w14:paraId="4049E826" w14:textId="36C36890"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r w:rsidRPr="00B27C3C">
        <w:rPr>
          <w:rFonts w:asciiTheme="minorHAnsi" w:hAnsiTheme="minorHAnsi" w:cstheme="minorHAnsi"/>
          <w:b/>
          <w:bCs/>
          <w:sz w:val="18"/>
          <w:szCs w:val="18"/>
          <w:lang w:eastAsia="it-IT"/>
        </w:rPr>
        <w:t>IN ITALIA IL  3</w:t>
      </w:r>
      <w:r>
        <w:rPr>
          <w:rFonts w:asciiTheme="minorHAnsi" w:hAnsiTheme="minorHAnsi" w:cstheme="minorHAnsi"/>
          <w:b/>
          <w:bCs/>
          <w:sz w:val="18"/>
          <w:szCs w:val="18"/>
          <w:lang w:eastAsia="it-IT"/>
        </w:rPr>
        <w:t>6</w:t>
      </w:r>
      <w:r w:rsidRPr="00B27C3C">
        <w:rPr>
          <w:rFonts w:asciiTheme="minorHAnsi" w:hAnsiTheme="minorHAnsi" w:cstheme="minorHAnsi"/>
          <w:b/>
          <w:bCs/>
          <w:sz w:val="18"/>
          <w:szCs w:val="18"/>
          <w:lang w:eastAsia="it-IT"/>
        </w:rPr>
        <w:t>% DEI CONSUMI ELETTRICI È STATO SODDISFATTO DA FONTI RINNOVABILI CON UNA PRODUZIONE DI CIRCA 11</w:t>
      </w:r>
      <w:r>
        <w:rPr>
          <w:rFonts w:asciiTheme="minorHAnsi" w:hAnsiTheme="minorHAnsi" w:cstheme="minorHAnsi"/>
          <w:b/>
          <w:bCs/>
          <w:sz w:val="18"/>
          <w:szCs w:val="18"/>
          <w:lang w:eastAsia="it-IT"/>
        </w:rPr>
        <w:t>3,</w:t>
      </w:r>
      <w:r w:rsidR="00670C7D">
        <w:rPr>
          <w:rFonts w:asciiTheme="minorHAnsi" w:hAnsiTheme="minorHAnsi" w:cstheme="minorHAnsi"/>
          <w:b/>
          <w:bCs/>
          <w:sz w:val="18"/>
          <w:szCs w:val="18"/>
          <w:lang w:eastAsia="it-IT"/>
        </w:rPr>
        <w:t>8</w:t>
      </w:r>
      <w:r w:rsidRPr="00B27C3C">
        <w:rPr>
          <w:rFonts w:asciiTheme="minorHAnsi" w:hAnsiTheme="minorHAnsi" w:cstheme="minorHAnsi"/>
          <w:b/>
          <w:bCs/>
          <w:sz w:val="18"/>
          <w:szCs w:val="18"/>
          <w:lang w:eastAsia="it-IT"/>
        </w:rPr>
        <w:t xml:space="preserve"> TWH</w:t>
      </w:r>
    </w:p>
    <w:p w14:paraId="6E5BD5AA" w14:textId="77777777"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p>
    <w:p w14:paraId="5420CF1F" w14:textId="77777777"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p>
    <w:p w14:paraId="09B6B58D" w14:textId="3043999E" w:rsidR="006D32C9" w:rsidRPr="001037EE" w:rsidRDefault="006D32C9" w:rsidP="00414CC9">
      <w:pPr>
        <w:shd w:val="clear" w:color="auto" w:fill="FFFFFF"/>
        <w:spacing w:after="0" w:line="240" w:lineRule="auto"/>
        <w:jc w:val="both"/>
        <w:rPr>
          <w:rFonts w:asciiTheme="minorHAnsi" w:hAnsiTheme="minorHAnsi" w:cstheme="minorHAnsi"/>
          <w:b/>
          <w:bCs/>
          <w:sz w:val="18"/>
          <w:szCs w:val="18"/>
          <w:lang w:eastAsia="it-IT"/>
        </w:rPr>
      </w:pPr>
      <w:r w:rsidRPr="00B27C3C">
        <w:rPr>
          <w:rFonts w:asciiTheme="minorHAnsi" w:hAnsiTheme="minorHAnsi" w:cstheme="minorHAnsi"/>
          <w:b/>
          <w:bCs/>
          <w:sz w:val="18"/>
          <w:szCs w:val="18"/>
          <w:lang w:eastAsia="it-IT"/>
        </w:rPr>
        <w:t xml:space="preserve">REALACCI: </w:t>
      </w:r>
      <w:r w:rsidR="00414CC9" w:rsidRPr="00414CC9">
        <w:rPr>
          <w:rFonts w:asciiTheme="minorHAnsi" w:hAnsiTheme="minorHAnsi" w:cstheme="minorHAnsi"/>
          <w:b/>
          <w:bCs/>
          <w:sz w:val="20"/>
          <w:szCs w:val="20"/>
          <w:lang w:eastAsia="it-IT"/>
        </w:rPr>
        <w:t xml:space="preserve">“C’È UN’ITALIA CHE PUÒ ESSERE </w:t>
      </w:r>
      <w:r w:rsidR="00B124D9">
        <w:rPr>
          <w:rFonts w:asciiTheme="minorHAnsi" w:hAnsiTheme="minorHAnsi" w:cstheme="minorHAnsi"/>
          <w:b/>
          <w:bCs/>
          <w:sz w:val="20"/>
          <w:szCs w:val="20"/>
          <w:lang w:eastAsia="it-IT"/>
        </w:rPr>
        <w:t xml:space="preserve">CON L’EUROPA </w:t>
      </w:r>
      <w:r w:rsidR="00414CC9" w:rsidRPr="00414CC9">
        <w:rPr>
          <w:rFonts w:asciiTheme="minorHAnsi" w:hAnsiTheme="minorHAnsi" w:cstheme="minorHAnsi"/>
          <w:b/>
          <w:bCs/>
          <w:sz w:val="20"/>
          <w:szCs w:val="20"/>
          <w:lang w:eastAsia="it-IT"/>
        </w:rPr>
        <w:t>PROTAGONISTA ALLA COP27</w:t>
      </w:r>
      <w:r w:rsidR="00451743">
        <w:rPr>
          <w:rFonts w:asciiTheme="minorHAnsi" w:hAnsiTheme="minorHAnsi" w:cstheme="minorHAnsi"/>
          <w:b/>
          <w:bCs/>
          <w:sz w:val="20"/>
          <w:szCs w:val="20"/>
          <w:lang w:eastAsia="it-IT"/>
        </w:rPr>
        <w:t xml:space="preserve"> IN EGITTO</w:t>
      </w:r>
      <w:r w:rsidR="00414CC9" w:rsidRPr="00414CC9">
        <w:rPr>
          <w:rFonts w:asciiTheme="minorHAnsi" w:hAnsiTheme="minorHAnsi" w:cstheme="minorHAnsi"/>
          <w:b/>
          <w:bCs/>
          <w:sz w:val="20"/>
          <w:szCs w:val="20"/>
          <w:lang w:eastAsia="it-IT"/>
        </w:rPr>
        <w:t xml:space="preserve">: FA DELLA TRANSIZIONE VERDE UN’OPPORTUNITÀ PER </w:t>
      </w:r>
      <w:r w:rsidR="007C1BB9">
        <w:rPr>
          <w:rFonts w:asciiTheme="minorHAnsi" w:hAnsiTheme="minorHAnsi" w:cstheme="minorHAnsi"/>
          <w:b/>
          <w:bCs/>
          <w:sz w:val="20"/>
          <w:szCs w:val="20"/>
          <w:lang w:eastAsia="it-IT"/>
        </w:rPr>
        <w:t>RAFFORZARE L’ECONOMIA E LA SOCIETÀ</w:t>
      </w:r>
      <w:r w:rsidR="00414CC9" w:rsidRPr="00414CC9">
        <w:rPr>
          <w:rFonts w:asciiTheme="minorHAnsi" w:hAnsiTheme="minorHAnsi" w:cstheme="minorHAnsi"/>
          <w:b/>
          <w:bCs/>
          <w:sz w:val="20"/>
          <w:szCs w:val="20"/>
          <w:lang w:eastAsia="it-IT"/>
        </w:rPr>
        <w:t xml:space="preserve"> E COINVOLGE GIÀ OGGI </w:t>
      </w:r>
      <w:r w:rsidR="00451743">
        <w:rPr>
          <w:rFonts w:asciiTheme="minorHAnsi" w:hAnsiTheme="minorHAnsi" w:cstheme="minorHAnsi"/>
          <w:b/>
          <w:bCs/>
          <w:sz w:val="20"/>
          <w:szCs w:val="20"/>
          <w:lang w:eastAsia="it-IT"/>
        </w:rPr>
        <w:t xml:space="preserve">2 IMPRESE MANIFATTURIERE SU 5. </w:t>
      </w:r>
      <w:r w:rsidR="00414CC9" w:rsidRPr="00414CC9">
        <w:rPr>
          <w:b/>
          <w:bCs/>
          <w:sz w:val="20"/>
          <w:szCs w:val="20"/>
        </w:rPr>
        <w:t>ACCELERARE SULLE RINNOVABILI E</w:t>
      </w:r>
      <w:r w:rsidR="00D46EB4">
        <w:rPr>
          <w:b/>
          <w:bCs/>
          <w:sz w:val="20"/>
          <w:szCs w:val="20"/>
        </w:rPr>
        <w:t xml:space="preserve"> SULL’EFFICIENZA ENERGETICA</w:t>
      </w:r>
      <w:r w:rsidR="006917B9">
        <w:rPr>
          <w:b/>
          <w:bCs/>
          <w:sz w:val="20"/>
          <w:szCs w:val="20"/>
        </w:rPr>
        <w:t xml:space="preserve"> PER</w:t>
      </w:r>
      <w:r w:rsidR="00414CC9" w:rsidRPr="00414CC9">
        <w:rPr>
          <w:b/>
          <w:bCs/>
          <w:sz w:val="20"/>
          <w:szCs w:val="20"/>
        </w:rPr>
        <w:t xml:space="preserve"> SOSTITUIRE I COMBUSTIBILI FOSSILI OLTRE A CONTRASTARE LA CRISI CLIMATICA CI RENDE PIÙ LIBERI</w:t>
      </w:r>
      <w:r w:rsidR="00BC3224">
        <w:rPr>
          <w:b/>
          <w:bCs/>
          <w:sz w:val="20"/>
          <w:szCs w:val="20"/>
        </w:rPr>
        <w:t xml:space="preserve"> E AIUTA LA PACE.</w:t>
      </w:r>
      <w:r w:rsidR="00414CC9" w:rsidRPr="00414CC9">
        <w:rPr>
          <w:b/>
          <w:bCs/>
          <w:sz w:val="20"/>
          <w:szCs w:val="20"/>
        </w:rPr>
        <w:t xml:space="preserve"> ESISTE GIÀ OGGI UN’ITALIA </w:t>
      </w:r>
      <w:r w:rsidR="00BC3224">
        <w:rPr>
          <w:b/>
          <w:bCs/>
          <w:sz w:val="20"/>
          <w:szCs w:val="20"/>
        </w:rPr>
        <w:t xml:space="preserve">CHE FA L’ITALIA PRONTA </w:t>
      </w:r>
      <w:r w:rsidR="006917B9">
        <w:rPr>
          <w:b/>
          <w:bCs/>
          <w:sz w:val="20"/>
          <w:szCs w:val="20"/>
        </w:rPr>
        <w:t>A</w:t>
      </w:r>
      <w:r w:rsidR="00BC3224">
        <w:rPr>
          <w:b/>
          <w:bCs/>
          <w:sz w:val="20"/>
          <w:szCs w:val="20"/>
        </w:rPr>
        <w:t>L</w:t>
      </w:r>
      <w:r w:rsidR="00414CC9" w:rsidRPr="00414CC9">
        <w:rPr>
          <w:b/>
          <w:bCs/>
          <w:sz w:val="20"/>
          <w:szCs w:val="20"/>
        </w:rPr>
        <w:t xml:space="preserve">LA SFIDA </w:t>
      </w:r>
      <w:r w:rsidR="006917B9">
        <w:rPr>
          <w:b/>
          <w:bCs/>
          <w:sz w:val="20"/>
          <w:szCs w:val="20"/>
        </w:rPr>
        <w:t>DE</w:t>
      </w:r>
      <w:r w:rsidR="00414CC9" w:rsidRPr="00414CC9">
        <w:rPr>
          <w:b/>
          <w:bCs/>
          <w:sz w:val="20"/>
          <w:szCs w:val="20"/>
        </w:rPr>
        <w:t xml:space="preserve">LLA CRISI CLIMATICA: </w:t>
      </w:r>
      <w:r w:rsidR="00414CC9" w:rsidRPr="00414CC9">
        <w:rPr>
          <w:rFonts w:asciiTheme="minorHAnsi" w:hAnsiTheme="minorHAnsi" w:cstheme="minorHAnsi"/>
          <w:b/>
          <w:bCs/>
          <w:sz w:val="20"/>
          <w:szCs w:val="20"/>
          <w:lang w:eastAsia="it-IT"/>
        </w:rPr>
        <w:t>NEL RAPPORTO GREENITALY</w:t>
      </w:r>
      <w:r w:rsidR="0011008E">
        <w:rPr>
          <w:rFonts w:asciiTheme="minorHAnsi" w:hAnsiTheme="minorHAnsi" w:cstheme="minorHAnsi"/>
          <w:b/>
          <w:bCs/>
          <w:sz w:val="20"/>
          <w:szCs w:val="20"/>
          <w:lang w:eastAsia="it-IT"/>
        </w:rPr>
        <w:t xml:space="preserve"> 2022</w:t>
      </w:r>
      <w:r w:rsidR="00414CC9" w:rsidRPr="00414CC9">
        <w:rPr>
          <w:rFonts w:asciiTheme="minorHAnsi" w:hAnsiTheme="minorHAnsi" w:cstheme="minorHAnsi"/>
          <w:b/>
          <w:bCs/>
          <w:sz w:val="20"/>
          <w:szCs w:val="20"/>
          <w:lang w:eastAsia="it-IT"/>
        </w:rPr>
        <w:t xml:space="preserve"> SI COGLIE UN’ACCELERAZIONE VERSO UN’ECONOMIA PIÙ A MISURA D’UOMO CHE PUNTA SULLA SOSTENIBILITÀ, SULL’INNOVAZIONE, SULLE COMUNITÀ E SUI TERRITORI. SIAMO</w:t>
      </w:r>
      <w:r w:rsidR="00BC3224">
        <w:rPr>
          <w:rFonts w:asciiTheme="minorHAnsi" w:hAnsiTheme="minorHAnsi" w:cstheme="minorHAnsi"/>
          <w:b/>
          <w:bCs/>
          <w:sz w:val="20"/>
          <w:szCs w:val="20"/>
          <w:lang w:eastAsia="it-IT"/>
        </w:rPr>
        <w:t>, AD ESEMPIO,</w:t>
      </w:r>
      <w:r w:rsidR="00414CC9" w:rsidRPr="00414CC9">
        <w:rPr>
          <w:rFonts w:asciiTheme="minorHAnsi" w:hAnsiTheme="minorHAnsi" w:cstheme="minorHAnsi"/>
          <w:b/>
          <w:bCs/>
          <w:sz w:val="20"/>
          <w:szCs w:val="20"/>
          <w:lang w:eastAsia="it-IT"/>
        </w:rPr>
        <w:t xml:space="preserve"> UNA SUPERPOTENZA EUROPEA DELL’ECONOMIA CIRCOLARE E QUESTO CI RENDE PIÙ COMPETITIVI E CAPACI DI FUTURO”.</w:t>
      </w:r>
    </w:p>
    <w:p w14:paraId="415F9B2B" w14:textId="77777777" w:rsidR="006D32C9" w:rsidRPr="00B27C3C" w:rsidRDefault="006D32C9" w:rsidP="006D32C9">
      <w:pPr>
        <w:shd w:val="clear" w:color="auto" w:fill="FFFFFF"/>
        <w:spacing w:after="0" w:line="240" w:lineRule="auto"/>
        <w:jc w:val="center"/>
        <w:rPr>
          <w:rFonts w:asciiTheme="minorHAnsi" w:hAnsiTheme="minorHAnsi" w:cstheme="minorHAnsi"/>
          <w:sz w:val="18"/>
          <w:szCs w:val="18"/>
          <w:lang w:eastAsia="it-IT"/>
        </w:rPr>
      </w:pPr>
    </w:p>
    <w:p w14:paraId="0BD09C43" w14:textId="77777777" w:rsidR="006D32C9" w:rsidRPr="00B27C3C" w:rsidRDefault="006D32C9" w:rsidP="006D32C9">
      <w:pPr>
        <w:shd w:val="clear" w:color="auto" w:fill="FFFFFF"/>
        <w:spacing w:after="0" w:line="240" w:lineRule="auto"/>
        <w:jc w:val="center"/>
        <w:rPr>
          <w:rFonts w:asciiTheme="minorHAnsi" w:hAnsiTheme="minorHAnsi" w:cstheme="minorHAnsi"/>
          <w:b/>
          <w:bCs/>
          <w:sz w:val="18"/>
          <w:szCs w:val="18"/>
          <w:lang w:eastAsia="it-IT"/>
        </w:rPr>
      </w:pPr>
    </w:p>
    <w:p w14:paraId="18F1F346" w14:textId="7F39E307" w:rsidR="00B74170" w:rsidRPr="00840ADC" w:rsidRDefault="006D32C9" w:rsidP="00B74170">
      <w:pPr>
        <w:shd w:val="clear" w:color="auto" w:fill="FFFFFF"/>
        <w:spacing w:after="0" w:line="240" w:lineRule="auto"/>
        <w:jc w:val="both"/>
        <w:rPr>
          <w:rFonts w:asciiTheme="minorHAnsi" w:hAnsiTheme="minorHAnsi" w:cstheme="minorHAnsi"/>
          <w:lang w:eastAsia="it-IT"/>
        </w:rPr>
      </w:pPr>
      <w:r w:rsidRPr="00B27C3C">
        <w:rPr>
          <w:rFonts w:asciiTheme="minorHAnsi" w:hAnsiTheme="minorHAnsi" w:cstheme="minorHAnsi"/>
          <w:b/>
          <w:bCs/>
          <w:sz w:val="18"/>
          <w:szCs w:val="18"/>
          <w:lang w:eastAsia="it-IT"/>
        </w:rPr>
        <w:t xml:space="preserve">PRETE: </w:t>
      </w:r>
      <w:r w:rsidR="00B74170" w:rsidRPr="00B74170">
        <w:rPr>
          <w:rFonts w:asciiTheme="minorHAnsi" w:hAnsiTheme="minorHAnsi" w:cstheme="minorHAnsi"/>
          <w:b/>
          <w:bCs/>
          <w:sz w:val="18"/>
          <w:szCs w:val="18"/>
          <w:lang w:eastAsia="it-IT"/>
        </w:rPr>
        <w:t>“NELL’ANNO DI RIPRESA POST-PANDEMIA, NEL 2021, È CRESCIUTA LA QUOTA DI IMPRESE ECO-INVESTITRICI, RILANCIANDO IL PROCESSO DI TRANSIZIONE VERDE DEL PAESE. SI È PASSATO, INFATTI, DA UNA QUOTA DEL 21,4% DEL 2020, ANNO IN CUI GLI INVESTIMENTI GREEN AVEVANO COMUNQUE TENUTO, AD UNA DEL 24,3%. DA ANNI IL NOSTRO MONDO PRODUTTIVO DIMOSTRA UN’ATTENZIONE SPECIFICA AI TEMI DELLA SOSTENIBILITÀ AMBIENTALE, E OGGI, ANCHE IN RAGIONE DELL’EMERGENZA ENERGETICA, GUARDA CON INTERESSE ALLE POTENZIALITÀ DELLE RINNOVABILI. MA, PURTROPPO, I TEMPI AUTORIZZATIVI STANNO RALLENTANDO L’INSTALLAZIONE DI IMPIANTI PER LA PRODUZIONE DI QUESTO TIPO DI ENERGIA. BASTI PENSARE CHE NEL 2021 È STATA INSTALLATA SOLO UNA POTENZA PARI A 1.351 MW, UN DATO MOLTO LONTANO DAL TARGET DEFINITO DAL GOVERNO PARI A 70.000 MW DA INSTALLARE ENTRO IL 2030”.</w:t>
      </w:r>
    </w:p>
    <w:p w14:paraId="5D076F6F" w14:textId="150E8DB6" w:rsidR="006D32C9" w:rsidRDefault="006D32C9" w:rsidP="00414CC9">
      <w:pPr>
        <w:spacing w:after="0" w:line="240" w:lineRule="auto"/>
        <w:rPr>
          <w:rFonts w:asciiTheme="minorHAnsi" w:hAnsiTheme="minorHAnsi" w:cstheme="minorHAnsi"/>
          <w:b/>
          <w:bCs/>
          <w:sz w:val="18"/>
          <w:szCs w:val="18"/>
          <w:lang w:eastAsia="it-IT"/>
        </w:rPr>
      </w:pPr>
    </w:p>
    <w:p w14:paraId="0859B6E1" w14:textId="74C9780D" w:rsidR="00414CC9" w:rsidRDefault="00414CC9" w:rsidP="006D32C9">
      <w:pPr>
        <w:spacing w:after="0" w:line="240" w:lineRule="auto"/>
        <w:jc w:val="center"/>
        <w:rPr>
          <w:rFonts w:asciiTheme="minorHAnsi" w:hAnsiTheme="minorHAnsi" w:cstheme="minorHAnsi"/>
          <w:b/>
          <w:bCs/>
          <w:sz w:val="18"/>
          <w:szCs w:val="18"/>
          <w:lang w:eastAsia="it-IT"/>
        </w:rPr>
      </w:pPr>
    </w:p>
    <w:p w14:paraId="2C102FFB" w14:textId="6A8EF5C8" w:rsidR="00B54079" w:rsidRDefault="006D32C9" w:rsidP="006D32C9">
      <w:pPr>
        <w:shd w:val="clear" w:color="auto" w:fill="FFFFFF"/>
        <w:spacing w:after="0" w:line="240" w:lineRule="auto"/>
        <w:jc w:val="both"/>
        <w:rPr>
          <w:rFonts w:asciiTheme="minorHAnsi" w:hAnsiTheme="minorHAnsi" w:cstheme="minorHAnsi"/>
          <w:lang w:eastAsia="it-IT"/>
        </w:rPr>
      </w:pPr>
      <w:r w:rsidRPr="003118F8">
        <w:rPr>
          <w:rFonts w:asciiTheme="minorHAnsi" w:hAnsiTheme="minorHAnsi" w:cstheme="minorHAnsi"/>
          <w:b/>
          <w:bCs/>
          <w:lang w:eastAsia="it-IT"/>
        </w:rPr>
        <w:t>25 Ottobre 2022.</w:t>
      </w:r>
      <w:r>
        <w:rPr>
          <w:rFonts w:asciiTheme="minorHAnsi" w:hAnsiTheme="minorHAnsi" w:cstheme="minorHAnsi"/>
          <w:lang w:eastAsia="it-IT"/>
        </w:rPr>
        <w:t xml:space="preserve"> </w:t>
      </w:r>
      <w:r w:rsidR="00B54079" w:rsidRPr="00B54079">
        <w:rPr>
          <w:rFonts w:asciiTheme="minorHAnsi" w:hAnsiTheme="minorHAnsi" w:cstheme="minorHAnsi"/>
          <w:lang w:eastAsia="it-IT"/>
        </w:rPr>
        <w:t>L’Italia è il principale destinatario delle risorse del Recovery Plan e anche per questo è chiamata a un ruolo da protagonista nella transizione verde. La sostenibilità, oltreché necessaria per affrontare la crisi climatica, riduce i profili di rischio per le imprese e per la società tutta, stimola l’innovazione e l’imprenditorialità, rende più competitive le filiere produttive. Lo dimostrano i dati</w:t>
      </w:r>
      <w:r w:rsidR="00B54079">
        <w:rPr>
          <w:rFonts w:asciiTheme="minorHAnsi" w:hAnsiTheme="minorHAnsi" w:cstheme="minorHAnsi"/>
          <w:lang w:eastAsia="it-IT"/>
        </w:rPr>
        <w:t xml:space="preserve"> </w:t>
      </w:r>
      <w:r w:rsidR="00B54079" w:rsidRPr="00B54079">
        <w:rPr>
          <w:rFonts w:asciiTheme="minorHAnsi" w:hAnsiTheme="minorHAnsi" w:cstheme="minorHAnsi"/>
          <w:lang w:eastAsia="it-IT"/>
        </w:rPr>
        <w:t xml:space="preserve">e le storie del Rapporto </w:t>
      </w:r>
      <w:proofErr w:type="spellStart"/>
      <w:r w:rsidR="00B54079" w:rsidRPr="00B54079">
        <w:rPr>
          <w:rFonts w:asciiTheme="minorHAnsi" w:hAnsiTheme="minorHAnsi" w:cstheme="minorHAnsi"/>
          <w:lang w:eastAsia="it-IT"/>
        </w:rPr>
        <w:t>GreenItaly</w:t>
      </w:r>
      <w:proofErr w:type="spellEnd"/>
      <w:r w:rsidR="00B54079" w:rsidRPr="00B54079">
        <w:rPr>
          <w:rFonts w:asciiTheme="minorHAnsi" w:hAnsiTheme="minorHAnsi" w:cstheme="minorHAnsi"/>
          <w:lang w:eastAsia="it-IT"/>
        </w:rPr>
        <w:t xml:space="preserve">, arrivato alla </w:t>
      </w:r>
      <w:r w:rsidR="00B54079">
        <w:rPr>
          <w:rFonts w:asciiTheme="minorHAnsi" w:hAnsiTheme="minorHAnsi" w:cstheme="minorHAnsi"/>
          <w:lang w:eastAsia="it-IT"/>
        </w:rPr>
        <w:t>tredicesima</w:t>
      </w:r>
      <w:r w:rsidR="00B54079" w:rsidRPr="00B54079">
        <w:rPr>
          <w:rFonts w:asciiTheme="minorHAnsi" w:hAnsiTheme="minorHAnsi" w:cstheme="minorHAnsi"/>
          <w:lang w:eastAsia="it-IT"/>
        </w:rPr>
        <w:t xml:space="preserve"> edizione, realizzato dalla Fondazione Symbola e da Unioncamere, con la collaborazione del Centro Studi Tagliacarne. Al rapporto hanno collaborato </w:t>
      </w:r>
      <w:proofErr w:type="spellStart"/>
      <w:r w:rsidR="00B54079" w:rsidRPr="00B54079">
        <w:rPr>
          <w:rFonts w:asciiTheme="minorHAnsi" w:hAnsiTheme="minorHAnsi" w:cstheme="minorHAnsi"/>
          <w:lang w:eastAsia="it-IT"/>
        </w:rPr>
        <w:t>Conai</w:t>
      </w:r>
      <w:proofErr w:type="spellEnd"/>
      <w:r w:rsidR="00B54079" w:rsidRPr="00B54079">
        <w:rPr>
          <w:rFonts w:asciiTheme="minorHAnsi" w:hAnsiTheme="minorHAnsi" w:cstheme="minorHAnsi"/>
          <w:lang w:eastAsia="it-IT"/>
        </w:rPr>
        <w:t xml:space="preserve">, </w:t>
      </w:r>
      <w:proofErr w:type="spellStart"/>
      <w:r w:rsidR="00B54079" w:rsidRPr="00B54079">
        <w:rPr>
          <w:rFonts w:asciiTheme="minorHAnsi" w:hAnsiTheme="minorHAnsi" w:cstheme="minorHAnsi"/>
          <w:lang w:eastAsia="it-IT"/>
        </w:rPr>
        <w:t>Novamont</w:t>
      </w:r>
      <w:proofErr w:type="spellEnd"/>
      <w:r w:rsidR="00B54079" w:rsidRPr="00B54079">
        <w:rPr>
          <w:rFonts w:asciiTheme="minorHAnsi" w:hAnsiTheme="minorHAnsi" w:cstheme="minorHAnsi"/>
          <w:lang w:eastAsia="it-IT"/>
        </w:rPr>
        <w:t xml:space="preserve">, </w:t>
      </w:r>
      <w:proofErr w:type="spellStart"/>
      <w:r w:rsidR="00B54079" w:rsidRPr="00B54079">
        <w:rPr>
          <w:rFonts w:asciiTheme="minorHAnsi" w:hAnsiTheme="minorHAnsi" w:cstheme="minorHAnsi"/>
          <w:lang w:eastAsia="it-IT"/>
        </w:rPr>
        <w:t>Ecopneus</w:t>
      </w:r>
      <w:proofErr w:type="spellEnd"/>
      <w:r w:rsidR="00B54079" w:rsidRPr="00B54079">
        <w:rPr>
          <w:rFonts w:asciiTheme="minorHAnsi" w:hAnsiTheme="minorHAnsi" w:cstheme="minorHAnsi"/>
          <w:lang w:eastAsia="it-IT"/>
        </w:rPr>
        <w:t>; molte organizzazioni e oltre 40 esperti.</w:t>
      </w:r>
    </w:p>
    <w:p w14:paraId="11F9ED75" w14:textId="1718BF07" w:rsidR="00B54079" w:rsidRDefault="00B54079" w:rsidP="006D32C9">
      <w:pPr>
        <w:shd w:val="clear" w:color="auto" w:fill="FFFFFF"/>
        <w:spacing w:after="0" w:line="240" w:lineRule="auto"/>
        <w:jc w:val="both"/>
        <w:rPr>
          <w:rFonts w:asciiTheme="minorHAnsi" w:hAnsiTheme="minorHAnsi" w:cstheme="minorHAnsi"/>
          <w:lang w:eastAsia="it-IT"/>
        </w:rPr>
      </w:pPr>
    </w:p>
    <w:p w14:paraId="2B652232" w14:textId="3D9E79E7" w:rsidR="00A00982" w:rsidRDefault="00A00982" w:rsidP="006D32C9">
      <w:pPr>
        <w:shd w:val="clear" w:color="auto" w:fill="FFFFFF"/>
        <w:spacing w:after="0" w:line="240" w:lineRule="auto"/>
        <w:jc w:val="both"/>
        <w:rPr>
          <w:rFonts w:asciiTheme="minorHAnsi" w:hAnsiTheme="minorHAnsi" w:cstheme="minorHAnsi"/>
          <w:b/>
          <w:bCs/>
          <w:lang w:eastAsia="it-IT"/>
        </w:rPr>
      </w:pPr>
      <w:r w:rsidRPr="00DB78FB">
        <w:rPr>
          <w:rFonts w:asciiTheme="minorHAnsi" w:hAnsiTheme="minorHAnsi" w:cstheme="minorHAnsi"/>
          <w:b/>
          <w:bCs/>
          <w:lang w:eastAsia="it-IT"/>
        </w:rPr>
        <w:t xml:space="preserve">Il tredicesimo rapporto </w:t>
      </w:r>
      <w:proofErr w:type="spellStart"/>
      <w:r w:rsidRPr="00DB78FB">
        <w:rPr>
          <w:rFonts w:asciiTheme="minorHAnsi" w:hAnsiTheme="minorHAnsi" w:cstheme="minorHAnsi"/>
          <w:b/>
          <w:bCs/>
          <w:lang w:eastAsia="it-IT"/>
        </w:rPr>
        <w:t>GreenItaly</w:t>
      </w:r>
      <w:proofErr w:type="spellEnd"/>
      <w:r w:rsidRPr="00DB78FB">
        <w:rPr>
          <w:rFonts w:asciiTheme="minorHAnsi" w:hAnsiTheme="minorHAnsi" w:cstheme="minorHAnsi"/>
          <w:b/>
          <w:bCs/>
          <w:lang w:eastAsia="it-IT"/>
        </w:rPr>
        <w:t xml:space="preserve"> è stato presentato stamattina da Ermete Realacci, presidente della Fondazione Symbola; Andrea Prete, presidente Unioncamere; Giuseppe Tripoli, </w:t>
      </w:r>
      <w:r w:rsidR="00DB78FB">
        <w:rPr>
          <w:rFonts w:asciiTheme="minorHAnsi" w:hAnsiTheme="minorHAnsi" w:cstheme="minorHAnsi"/>
          <w:b/>
          <w:bCs/>
          <w:lang w:eastAsia="it-IT"/>
        </w:rPr>
        <w:t>s</w:t>
      </w:r>
      <w:r w:rsidRPr="00DB78FB">
        <w:rPr>
          <w:rFonts w:asciiTheme="minorHAnsi" w:hAnsiTheme="minorHAnsi" w:cstheme="minorHAnsi"/>
          <w:b/>
          <w:bCs/>
          <w:lang w:eastAsia="it-IT"/>
        </w:rPr>
        <w:t>egretario Generale Unioncamere</w:t>
      </w:r>
      <w:r w:rsidR="00DB78FB" w:rsidRPr="00DB78FB">
        <w:rPr>
          <w:rFonts w:asciiTheme="minorHAnsi" w:hAnsiTheme="minorHAnsi" w:cstheme="minorHAnsi"/>
          <w:b/>
          <w:bCs/>
          <w:lang w:eastAsia="it-IT"/>
        </w:rPr>
        <w:t xml:space="preserve">. </w:t>
      </w:r>
      <w:r w:rsidRPr="00DB78FB">
        <w:rPr>
          <w:rFonts w:asciiTheme="minorHAnsi" w:hAnsiTheme="minorHAnsi" w:cstheme="minorHAnsi"/>
          <w:b/>
          <w:bCs/>
          <w:lang w:eastAsia="it-IT"/>
        </w:rPr>
        <w:t xml:space="preserve">Sono intervenuti Catia </w:t>
      </w:r>
      <w:proofErr w:type="spellStart"/>
      <w:r w:rsidRPr="00DB78FB">
        <w:rPr>
          <w:rFonts w:asciiTheme="minorHAnsi" w:hAnsiTheme="minorHAnsi" w:cstheme="minorHAnsi"/>
          <w:b/>
          <w:bCs/>
          <w:lang w:eastAsia="it-IT"/>
        </w:rPr>
        <w:t>Bastioli</w:t>
      </w:r>
      <w:proofErr w:type="spellEnd"/>
      <w:r w:rsidRPr="00DB78FB">
        <w:rPr>
          <w:rFonts w:asciiTheme="minorHAnsi" w:hAnsiTheme="minorHAnsi" w:cstheme="minorHAnsi"/>
          <w:b/>
          <w:bCs/>
          <w:lang w:eastAsia="it-IT"/>
        </w:rPr>
        <w:t xml:space="preserve">, Amministratore Delegato </w:t>
      </w:r>
      <w:proofErr w:type="spellStart"/>
      <w:r w:rsidRPr="00DB78FB">
        <w:rPr>
          <w:rFonts w:asciiTheme="minorHAnsi" w:hAnsiTheme="minorHAnsi" w:cstheme="minorHAnsi"/>
          <w:b/>
          <w:bCs/>
          <w:lang w:eastAsia="it-IT"/>
        </w:rPr>
        <w:t>Novamont</w:t>
      </w:r>
      <w:proofErr w:type="spellEnd"/>
      <w:r w:rsidRPr="00DB78FB">
        <w:rPr>
          <w:rFonts w:asciiTheme="minorHAnsi" w:hAnsiTheme="minorHAnsi" w:cstheme="minorHAnsi"/>
          <w:b/>
          <w:bCs/>
          <w:lang w:eastAsia="it-IT"/>
        </w:rPr>
        <w:t>;</w:t>
      </w:r>
      <w:r w:rsidR="00DB78FB" w:rsidRPr="00DB78FB">
        <w:rPr>
          <w:rFonts w:asciiTheme="minorHAnsi" w:hAnsiTheme="minorHAnsi" w:cstheme="minorHAnsi"/>
          <w:b/>
          <w:bCs/>
          <w:lang w:eastAsia="it-IT"/>
        </w:rPr>
        <w:t xml:space="preserve"> Agostino Re Rebaudengo, presidente di Elettricità Futura;</w:t>
      </w:r>
      <w:r w:rsidRPr="00DB78FB">
        <w:rPr>
          <w:rFonts w:asciiTheme="minorHAnsi" w:hAnsiTheme="minorHAnsi" w:cstheme="minorHAnsi"/>
          <w:b/>
          <w:bCs/>
          <w:lang w:eastAsia="it-IT"/>
        </w:rPr>
        <w:t xml:space="preserve"> Luca Ruini presidente CONAI. </w:t>
      </w:r>
    </w:p>
    <w:p w14:paraId="3AB3ED81" w14:textId="77777777" w:rsidR="006D32C9" w:rsidRPr="00B27C3C" w:rsidRDefault="006D32C9" w:rsidP="006D32C9">
      <w:pPr>
        <w:shd w:val="clear" w:color="auto" w:fill="FFFFFF"/>
        <w:spacing w:after="0" w:line="240" w:lineRule="auto"/>
        <w:jc w:val="both"/>
        <w:rPr>
          <w:rFonts w:asciiTheme="minorHAnsi" w:hAnsiTheme="minorHAnsi" w:cstheme="minorHAnsi"/>
          <w:b/>
          <w:bCs/>
          <w:lang w:eastAsia="it-IT"/>
        </w:rPr>
      </w:pPr>
    </w:p>
    <w:p w14:paraId="23AB3DAA" w14:textId="3475F7C7" w:rsidR="006D32C9" w:rsidRPr="000D7DBD" w:rsidRDefault="006D32C9" w:rsidP="006D32C9">
      <w:pPr>
        <w:shd w:val="clear" w:color="auto" w:fill="FFFFFF"/>
        <w:spacing w:after="0" w:line="240" w:lineRule="auto"/>
        <w:jc w:val="both"/>
        <w:rPr>
          <w:rFonts w:asciiTheme="minorHAnsi" w:hAnsiTheme="minorHAnsi" w:cstheme="minorHAnsi"/>
          <w:b/>
          <w:bCs/>
          <w:lang w:eastAsia="it-IT"/>
        </w:rPr>
      </w:pPr>
      <w:r w:rsidRPr="00BC3224">
        <w:rPr>
          <w:rFonts w:asciiTheme="minorHAnsi" w:hAnsiTheme="minorHAnsi" w:cstheme="minorHAnsi"/>
          <w:lang w:eastAsia="it-IT"/>
        </w:rPr>
        <w:t>“</w:t>
      </w:r>
      <w:bookmarkStart w:id="0" w:name="_Hlk116638452"/>
      <w:r w:rsidRPr="00BC3224">
        <w:rPr>
          <w:rFonts w:asciiTheme="minorHAnsi" w:hAnsiTheme="minorHAnsi" w:cstheme="minorHAnsi"/>
          <w:lang w:eastAsia="it-IT"/>
        </w:rPr>
        <w:t>C’è un’Italia che può essere protagonista</w:t>
      </w:r>
      <w:r w:rsidR="00BC3224" w:rsidRPr="00BC3224">
        <w:rPr>
          <w:rFonts w:asciiTheme="minorHAnsi" w:hAnsiTheme="minorHAnsi" w:cstheme="minorHAnsi"/>
          <w:lang w:eastAsia="it-IT"/>
        </w:rPr>
        <w:t xml:space="preserve"> con l’Europa</w:t>
      </w:r>
      <w:r w:rsidRPr="00BC3224">
        <w:rPr>
          <w:rFonts w:asciiTheme="minorHAnsi" w:hAnsiTheme="minorHAnsi" w:cstheme="minorHAnsi"/>
          <w:lang w:eastAsia="it-IT"/>
        </w:rPr>
        <w:t xml:space="preserve"> alla COP27</w:t>
      </w:r>
      <w:r w:rsidR="00547BBF" w:rsidRPr="00BC3224">
        <w:rPr>
          <w:rFonts w:asciiTheme="minorHAnsi" w:hAnsiTheme="minorHAnsi" w:cstheme="minorHAnsi"/>
          <w:lang w:eastAsia="it-IT"/>
        </w:rPr>
        <w:t xml:space="preserve"> in Egitto</w:t>
      </w:r>
      <w:r w:rsidRPr="00BC3224">
        <w:rPr>
          <w:rFonts w:asciiTheme="minorHAnsi" w:hAnsiTheme="minorHAnsi" w:cstheme="minorHAnsi"/>
          <w:lang w:eastAsia="it-IT"/>
        </w:rPr>
        <w:t>: fa della transizione verde un’opportunità</w:t>
      </w:r>
      <w:r w:rsidRPr="00BC3224">
        <w:rPr>
          <w:rFonts w:asciiTheme="minorHAnsi" w:hAnsiTheme="minorHAnsi" w:cstheme="minorHAnsi"/>
          <w:b/>
          <w:bCs/>
          <w:lang w:eastAsia="it-IT"/>
        </w:rPr>
        <w:t xml:space="preserve"> </w:t>
      </w:r>
      <w:r w:rsidRPr="00BC3224">
        <w:rPr>
          <w:rFonts w:asciiTheme="minorHAnsi" w:hAnsiTheme="minorHAnsi" w:cstheme="minorHAnsi"/>
          <w:lang w:eastAsia="it-IT"/>
        </w:rPr>
        <w:t xml:space="preserve">per </w:t>
      </w:r>
      <w:r w:rsidR="000D7DBD">
        <w:rPr>
          <w:rFonts w:asciiTheme="minorHAnsi" w:hAnsiTheme="minorHAnsi" w:cstheme="minorHAnsi"/>
          <w:lang w:eastAsia="it-IT"/>
        </w:rPr>
        <w:t>rafforzare</w:t>
      </w:r>
      <w:r w:rsidRPr="00BC3224">
        <w:rPr>
          <w:rFonts w:asciiTheme="minorHAnsi" w:hAnsiTheme="minorHAnsi" w:cstheme="minorHAnsi"/>
          <w:lang w:eastAsia="it-IT"/>
        </w:rPr>
        <w:t xml:space="preserve"> </w:t>
      </w:r>
      <w:r w:rsidRPr="00BC3224">
        <w:rPr>
          <w:rFonts w:asciiTheme="minorHAnsi" w:hAnsiTheme="minorHAnsi" w:cstheme="minorHAnsi"/>
          <w:b/>
          <w:bCs/>
          <w:lang w:eastAsia="it-IT"/>
        </w:rPr>
        <w:t xml:space="preserve">– </w:t>
      </w:r>
      <w:r w:rsidRPr="00BC3224">
        <w:rPr>
          <w:rFonts w:asciiTheme="minorHAnsi" w:hAnsiTheme="minorHAnsi" w:cstheme="minorHAnsi"/>
          <w:lang w:eastAsia="it-IT"/>
        </w:rPr>
        <w:t>dichiara</w:t>
      </w:r>
      <w:r w:rsidRPr="00BC3224">
        <w:rPr>
          <w:rFonts w:asciiTheme="minorHAnsi" w:hAnsiTheme="minorHAnsi" w:cstheme="minorHAnsi"/>
          <w:b/>
          <w:bCs/>
          <w:lang w:eastAsia="it-IT"/>
        </w:rPr>
        <w:t xml:space="preserve"> il presidente della Fondazione Symbola, Ermete Realacci </w:t>
      </w:r>
      <w:r w:rsidR="000D7DBD" w:rsidRPr="000D7DBD">
        <w:rPr>
          <w:rFonts w:asciiTheme="minorHAnsi" w:hAnsiTheme="minorHAnsi" w:cstheme="minorHAnsi"/>
          <w:lang w:eastAsia="it-IT"/>
        </w:rPr>
        <w:t>–</w:t>
      </w:r>
      <w:r w:rsidR="000D7DBD">
        <w:rPr>
          <w:rFonts w:asciiTheme="minorHAnsi" w:hAnsiTheme="minorHAnsi" w:cstheme="minorHAnsi"/>
          <w:b/>
          <w:bCs/>
          <w:lang w:eastAsia="it-IT"/>
        </w:rPr>
        <w:t xml:space="preserve"> </w:t>
      </w:r>
      <w:r w:rsidR="000D7DBD" w:rsidRPr="000D7DBD">
        <w:rPr>
          <w:rFonts w:asciiTheme="minorHAnsi" w:hAnsiTheme="minorHAnsi" w:cstheme="minorHAnsi"/>
          <w:lang w:eastAsia="it-IT"/>
        </w:rPr>
        <w:t>l’economia e la società</w:t>
      </w:r>
      <w:r w:rsidR="000D7DBD">
        <w:rPr>
          <w:rFonts w:asciiTheme="minorHAnsi" w:hAnsiTheme="minorHAnsi" w:cstheme="minorHAnsi"/>
          <w:b/>
          <w:bCs/>
          <w:lang w:eastAsia="it-IT"/>
        </w:rPr>
        <w:t xml:space="preserve"> </w:t>
      </w:r>
      <w:r w:rsidRPr="00BC3224">
        <w:rPr>
          <w:rFonts w:asciiTheme="minorHAnsi" w:hAnsiTheme="minorHAnsi" w:cstheme="minorHAnsi"/>
          <w:lang w:eastAsia="it-IT"/>
        </w:rPr>
        <w:t>e coinvolge già oggi</w:t>
      </w:r>
      <w:r w:rsidR="00547BBF" w:rsidRPr="00BC3224">
        <w:rPr>
          <w:rFonts w:asciiTheme="minorHAnsi" w:hAnsiTheme="minorHAnsi" w:cstheme="minorHAnsi"/>
          <w:lang w:eastAsia="it-IT"/>
        </w:rPr>
        <w:t xml:space="preserve"> 2 imprese manifatturiere su 5</w:t>
      </w:r>
      <w:r w:rsidRPr="00BC3224">
        <w:rPr>
          <w:rFonts w:asciiTheme="minorHAnsi" w:hAnsiTheme="minorHAnsi" w:cstheme="minorHAnsi"/>
          <w:lang w:eastAsia="it-IT"/>
        </w:rPr>
        <w:t>.</w:t>
      </w:r>
      <w:r w:rsidR="00414CC9" w:rsidRPr="00BC3224">
        <w:t xml:space="preserve"> </w:t>
      </w:r>
      <w:r w:rsidR="00BC3224" w:rsidRPr="00BC3224">
        <w:rPr>
          <w:rFonts w:asciiTheme="minorHAnsi" w:hAnsiTheme="minorHAnsi" w:cstheme="minorHAnsi"/>
        </w:rPr>
        <w:t>Accelerare sulle</w:t>
      </w:r>
      <w:r w:rsidR="00BC3224" w:rsidRPr="00BC3224">
        <w:rPr>
          <w:rFonts w:asciiTheme="minorHAnsi" w:hAnsiTheme="minorHAnsi" w:cstheme="minorHAnsi"/>
          <w:b/>
          <w:bCs/>
        </w:rPr>
        <w:t xml:space="preserve"> </w:t>
      </w:r>
      <w:r w:rsidR="00BC3224" w:rsidRPr="00BC3224">
        <w:rPr>
          <w:rFonts w:asciiTheme="minorHAnsi" w:hAnsiTheme="minorHAnsi" w:cstheme="minorHAnsi"/>
        </w:rPr>
        <w:t xml:space="preserve">rinnovabili e </w:t>
      </w:r>
      <w:r w:rsidR="00DC0593">
        <w:rPr>
          <w:rFonts w:asciiTheme="minorHAnsi" w:hAnsiTheme="minorHAnsi" w:cstheme="minorHAnsi"/>
        </w:rPr>
        <w:t xml:space="preserve">sull’efficienza energetica per </w:t>
      </w:r>
      <w:r w:rsidR="00BC3224" w:rsidRPr="00BC3224">
        <w:rPr>
          <w:rFonts w:asciiTheme="minorHAnsi" w:hAnsiTheme="minorHAnsi" w:cstheme="minorHAnsi"/>
        </w:rPr>
        <w:t xml:space="preserve">sostituire i combustibili fossili oltre a contrastare la crisi climatica ci rende più liberi e aiuta la pace. </w:t>
      </w:r>
      <w:r w:rsidR="00414CC9" w:rsidRPr="00BC3224">
        <w:t xml:space="preserve">Esiste già oggi un’Italia </w:t>
      </w:r>
      <w:r w:rsidR="00BC3224" w:rsidRPr="00BC3224">
        <w:t>che fa l’Italia pronta</w:t>
      </w:r>
      <w:r w:rsidR="00414CC9" w:rsidRPr="00BC3224">
        <w:t xml:space="preserve"> </w:t>
      </w:r>
      <w:r w:rsidR="00BC3224" w:rsidRPr="00BC3224">
        <w:t>al</w:t>
      </w:r>
      <w:r w:rsidR="00414CC9" w:rsidRPr="00BC3224">
        <w:t xml:space="preserve">la sfida </w:t>
      </w:r>
      <w:r w:rsidR="003616E5">
        <w:t>de</w:t>
      </w:r>
      <w:r w:rsidR="00414CC9" w:rsidRPr="00BC3224">
        <w:t xml:space="preserve">lla crisi climatica: </w:t>
      </w:r>
      <w:r w:rsidR="00414CC9" w:rsidRPr="00BC3224">
        <w:rPr>
          <w:rFonts w:asciiTheme="minorHAnsi" w:hAnsiTheme="minorHAnsi" w:cstheme="minorHAnsi"/>
          <w:lang w:eastAsia="it-IT"/>
        </w:rPr>
        <w:t>n</w:t>
      </w:r>
      <w:r w:rsidRPr="00BC3224">
        <w:rPr>
          <w:rFonts w:asciiTheme="minorHAnsi" w:hAnsiTheme="minorHAnsi" w:cstheme="minorHAnsi"/>
          <w:lang w:eastAsia="it-IT"/>
        </w:rPr>
        <w:t xml:space="preserve">el </w:t>
      </w:r>
      <w:r w:rsidR="00DA6255" w:rsidRPr="00BC3224">
        <w:rPr>
          <w:rFonts w:asciiTheme="minorHAnsi" w:hAnsiTheme="minorHAnsi" w:cstheme="minorHAnsi"/>
          <w:lang w:eastAsia="it-IT"/>
        </w:rPr>
        <w:t>r</w:t>
      </w:r>
      <w:r w:rsidRPr="00BC3224">
        <w:rPr>
          <w:rFonts w:asciiTheme="minorHAnsi" w:hAnsiTheme="minorHAnsi" w:cstheme="minorHAnsi"/>
          <w:lang w:eastAsia="it-IT"/>
        </w:rPr>
        <w:t xml:space="preserve">apporto </w:t>
      </w:r>
      <w:proofErr w:type="spellStart"/>
      <w:r w:rsidRPr="00BC3224">
        <w:rPr>
          <w:rFonts w:asciiTheme="minorHAnsi" w:hAnsiTheme="minorHAnsi" w:cstheme="minorHAnsi"/>
          <w:lang w:eastAsia="it-IT"/>
        </w:rPr>
        <w:t>GreenItaly</w:t>
      </w:r>
      <w:proofErr w:type="spellEnd"/>
      <w:r w:rsidR="0011008E">
        <w:rPr>
          <w:rFonts w:asciiTheme="minorHAnsi" w:hAnsiTheme="minorHAnsi" w:cstheme="minorHAnsi"/>
          <w:lang w:eastAsia="it-IT"/>
        </w:rPr>
        <w:t xml:space="preserve"> 2022</w:t>
      </w:r>
      <w:r w:rsidRPr="00BC3224">
        <w:rPr>
          <w:rFonts w:asciiTheme="minorHAnsi" w:hAnsiTheme="minorHAnsi" w:cstheme="minorHAnsi"/>
          <w:lang w:eastAsia="it-IT"/>
        </w:rPr>
        <w:t xml:space="preserve"> si coglie un’accelerazione verso un’economia più a misura d’uomo che punta sulla sostenibilità, sull’innovazione, sulle comunità e sui territori. Siamo</w:t>
      </w:r>
      <w:r w:rsidR="00BC3224">
        <w:rPr>
          <w:rFonts w:asciiTheme="minorHAnsi" w:hAnsiTheme="minorHAnsi" w:cstheme="minorHAnsi"/>
          <w:lang w:eastAsia="it-IT"/>
        </w:rPr>
        <w:t>, ad esempio,</w:t>
      </w:r>
      <w:r w:rsidRPr="00BC3224">
        <w:rPr>
          <w:rFonts w:asciiTheme="minorHAnsi" w:hAnsiTheme="minorHAnsi" w:cstheme="minorHAnsi"/>
          <w:lang w:eastAsia="it-IT"/>
        </w:rPr>
        <w:t xml:space="preserve"> una superpotenza europea dell’economia circolare e questo ci rende più competitivi e capaci di futuro. Possiamo dare forza a questa nostra economia e a questa idea di Italia grazie alle scelte coraggiose compiute dall’Unione Europea con il Next Generation UE e al PNRR. </w:t>
      </w:r>
      <w:bookmarkEnd w:id="0"/>
      <w:r w:rsidR="00B95371" w:rsidRPr="00BC3224">
        <w:rPr>
          <w:rFonts w:asciiTheme="minorHAnsi" w:hAnsiTheme="minorHAnsi" w:cstheme="minorHAnsi"/>
          <w:lang w:eastAsia="it-IT"/>
        </w:rPr>
        <w:t>Spesso l</w:t>
      </w:r>
      <w:r w:rsidRPr="00BC3224">
        <w:rPr>
          <w:rFonts w:asciiTheme="minorHAnsi" w:hAnsiTheme="minorHAnsi" w:cstheme="minorHAnsi"/>
          <w:lang w:eastAsia="it-IT"/>
        </w:rPr>
        <w:t>a burocrazia inutile ostacola il cambiamento necessario, ma possiamo farcela se mobilitiamo le migliori energie del Paese senza lasciare indietro nessuno, senza lasciare solo nessuno, come recita il Manifesto di Assisi, promosso dalla Fondazione Symbola e dal Sacro Convento”.</w:t>
      </w:r>
    </w:p>
    <w:p w14:paraId="7B696764" w14:textId="77777777" w:rsidR="006D32C9" w:rsidRPr="00414CC9" w:rsidRDefault="006D32C9" w:rsidP="006D32C9">
      <w:pPr>
        <w:shd w:val="clear" w:color="auto" w:fill="FFFFFF"/>
        <w:spacing w:after="0" w:line="240" w:lineRule="auto"/>
        <w:jc w:val="both"/>
        <w:rPr>
          <w:rFonts w:asciiTheme="minorHAnsi" w:hAnsiTheme="minorHAnsi" w:cstheme="minorHAnsi"/>
          <w:lang w:eastAsia="it-IT"/>
        </w:rPr>
      </w:pPr>
    </w:p>
    <w:p w14:paraId="23264E95" w14:textId="73A913DC" w:rsidR="00B74170" w:rsidRPr="00840ADC" w:rsidRDefault="00B74170" w:rsidP="00B74170">
      <w:pPr>
        <w:shd w:val="clear" w:color="auto" w:fill="FFFFFF"/>
        <w:spacing w:after="0" w:line="240" w:lineRule="auto"/>
        <w:jc w:val="both"/>
        <w:rPr>
          <w:rFonts w:asciiTheme="minorHAnsi" w:hAnsiTheme="minorHAnsi" w:cstheme="minorHAnsi"/>
          <w:lang w:eastAsia="it-IT"/>
        </w:rPr>
      </w:pPr>
      <w:r>
        <w:rPr>
          <w:rFonts w:asciiTheme="minorHAnsi" w:hAnsiTheme="minorHAnsi" w:cstheme="minorHAnsi"/>
          <w:lang w:eastAsia="it-IT"/>
        </w:rPr>
        <w:t>“</w:t>
      </w:r>
      <w:r w:rsidRPr="00344ABA">
        <w:rPr>
          <w:rFonts w:asciiTheme="minorHAnsi" w:hAnsiTheme="minorHAnsi" w:cstheme="minorHAnsi"/>
          <w:lang w:eastAsia="it-IT"/>
        </w:rPr>
        <w:t>Nell’anno di ripresa post-pandemia, nel 2021, è cresciuta la quota di imprese eco-investitrici, rilanciando il processo di transizione verde del Paese. Si è passato, infatti, da una quota del 21,4% del 2020, anno in cui gli investimenti green avevano comunque tenuto, ad una del 24,3%</w:t>
      </w:r>
      <w:r>
        <w:rPr>
          <w:rFonts w:asciiTheme="minorHAnsi" w:hAnsiTheme="minorHAnsi" w:cstheme="minorHAnsi"/>
          <w:lang w:eastAsia="it-IT"/>
        </w:rPr>
        <w:t>”</w:t>
      </w:r>
      <w:r w:rsidRPr="00344ABA">
        <w:rPr>
          <w:rFonts w:asciiTheme="minorHAnsi" w:hAnsiTheme="minorHAnsi" w:cstheme="minorHAnsi"/>
          <w:lang w:eastAsia="it-IT"/>
        </w:rPr>
        <w:t xml:space="preserve">.  </w:t>
      </w:r>
      <w:r>
        <w:rPr>
          <w:rFonts w:asciiTheme="minorHAnsi" w:hAnsiTheme="minorHAnsi" w:cstheme="minorHAnsi"/>
          <w:lang w:eastAsia="it-IT"/>
        </w:rPr>
        <w:t xml:space="preserve">È </w:t>
      </w:r>
      <w:r w:rsidRPr="00344ABA">
        <w:rPr>
          <w:rFonts w:asciiTheme="minorHAnsi" w:hAnsiTheme="minorHAnsi" w:cstheme="minorHAnsi"/>
          <w:lang w:eastAsia="it-IT"/>
        </w:rPr>
        <w:t xml:space="preserve">quanto ha sottolineato il </w:t>
      </w:r>
      <w:r w:rsidRPr="00840ADC">
        <w:rPr>
          <w:rFonts w:asciiTheme="minorHAnsi" w:hAnsiTheme="minorHAnsi" w:cstheme="minorHAnsi"/>
          <w:b/>
          <w:bCs/>
          <w:lang w:eastAsia="it-IT"/>
        </w:rPr>
        <w:t>presidente di Unioncamere, Andrea Prete,</w:t>
      </w:r>
      <w:r w:rsidRPr="00344ABA">
        <w:rPr>
          <w:rFonts w:asciiTheme="minorHAnsi" w:hAnsiTheme="minorHAnsi" w:cstheme="minorHAnsi"/>
          <w:lang w:eastAsia="it-IT"/>
        </w:rPr>
        <w:t xml:space="preserve"> che ha aggiunto “da anni il nostro mondo produttivo dimostra un’attenzione specifica ai temi della sostenibilità ambientale, e oggi, anche in ragione dell’emergenza energetica, guarda con interesse alle potenzialità delle rinnovabili. Ma</w:t>
      </w:r>
      <w:r>
        <w:rPr>
          <w:rFonts w:asciiTheme="minorHAnsi" w:hAnsiTheme="minorHAnsi" w:cstheme="minorHAnsi"/>
          <w:lang w:eastAsia="it-IT"/>
        </w:rPr>
        <w:t>,</w:t>
      </w:r>
      <w:r w:rsidRPr="00344ABA">
        <w:rPr>
          <w:rFonts w:asciiTheme="minorHAnsi" w:hAnsiTheme="minorHAnsi" w:cstheme="minorHAnsi"/>
          <w:lang w:eastAsia="it-IT"/>
        </w:rPr>
        <w:t xml:space="preserve"> purtroppo</w:t>
      </w:r>
      <w:r>
        <w:rPr>
          <w:rFonts w:asciiTheme="minorHAnsi" w:hAnsiTheme="minorHAnsi" w:cstheme="minorHAnsi"/>
          <w:lang w:eastAsia="it-IT"/>
        </w:rPr>
        <w:t>,</w:t>
      </w:r>
      <w:r w:rsidRPr="00344ABA">
        <w:rPr>
          <w:rFonts w:asciiTheme="minorHAnsi" w:hAnsiTheme="minorHAnsi" w:cstheme="minorHAnsi"/>
          <w:lang w:eastAsia="it-IT"/>
        </w:rPr>
        <w:t xml:space="preserve"> i tempi autorizzativi stanno rallentando l’installazione di impianti per la produzione di questo tipo di energia. Basti pensare che nel 2021 è stata installata solo una potenza pari a 1.351 </w:t>
      </w:r>
      <w:bookmarkStart w:id="1" w:name="_Hlk117164519"/>
      <w:r w:rsidRPr="00344ABA">
        <w:rPr>
          <w:rFonts w:asciiTheme="minorHAnsi" w:hAnsiTheme="minorHAnsi" w:cstheme="minorHAnsi"/>
          <w:lang w:eastAsia="it-IT"/>
        </w:rPr>
        <w:t>MW</w:t>
      </w:r>
      <w:bookmarkEnd w:id="1"/>
      <w:r w:rsidRPr="00344ABA">
        <w:rPr>
          <w:rFonts w:asciiTheme="minorHAnsi" w:hAnsiTheme="minorHAnsi" w:cstheme="minorHAnsi"/>
          <w:lang w:eastAsia="it-IT"/>
        </w:rPr>
        <w:t>, un dato molto lontano dal target definito dal Governo pari a 70</w:t>
      </w:r>
      <w:r>
        <w:rPr>
          <w:rFonts w:asciiTheme="minorHAnsi" w:hAnsiTheme="minorHAnsi" w:cstheme="minorHAnsi"/>
          <w:lang w:eastAsia="it-IT"/>
        </w:rPr>
        <w:t xml:space="preserve">.000 </w:t>
      </w:r>
      <w:r w:rsidRPr="00733979">
        <w:rPr>
          <w:rFonts w:asciiTheme="minorHAnsi" w:hAnsiTheme="minorHAnsi" w:cstheme="minorHAnsi"/>
          <w:lang w:eastAsia="it-IT"/>
        </w:rPr>
        <w:t xml:space="preserve">MW </w:t>
      </w:r>
      <w:r w:rsidRPr="00344ABA">
        <w:rPr>
          <w:rFonts w:asciiTheme="minorHAnsi" w:hAnsiTheme="minorHAnsi" w:cstheme="minorHAnsi"/>
          <w:lang w:eastAsia="it-IT"/>
        </w:rPr>
        <w:t>da installare entro il 2030</w:t>
      </w:r>
      <w:r>
        <w:rPr>
          <w:rFonts w:asciiTheme="minorHAnsi" w:hAnsiTheme="minorHAnsi" w:cstheme="minorHAnsi"/>
          <w:lang w:eastAsia="it-IT"/>
        </w:rPr>
        <w:t>”.</w:t>
      </w:r>
    </w:p>
    <w:p w14:paraId="0FA15F55" w14:textId="77777777" w:rsidR="00B74170" w:rsidRPr="00B27C3C" w:rsidRDefault="00B74170" w:rsidP="00B74170">
      <w:pPr>
        <w:shd w:val="clear" w:color="auto" w:fill="FFFFFF"/>
        <w:spacing w:after="0" w:line="240" w:lineRule="auto"/>
        <w:jc w:val="both"/>
        <w:rPr>
          <w:rFonts w:asciiTheme="minorHAnsi" w:hAnsiTheme="minorHAnsi" w:cstheme="minorHAnsi"/>
          <w:lang w:eastAsia="it-IT"/>
        </w:rPr>
      </w:pPr>
    </w:p>
    <w:p w14:paraId="27F44706" w14:textId="77777777" w:rsidR="006D32C9" w:rsidRPr="00B27C3C" w:rsidRDefault="006D32C9" w:rsidP="006D32C9">
      <w:pPr>
        <w:shd w:val="clear" w:color="auto" w:fill="FFFFFF"/>
        <w:spacing w:after="0" w:line="240" w:lineRule="auto"/>
        <w:jc w:val="both"/>
        <w:rPr>
          <w:rFonts w:asciiTheme="minorHAnsi" w:hAnsiTheme="minorHAnsi" w:cstheme="minorHAnsi"/>
          <w:lang w:eastAsia="it-IT"/>
        </w:rPr>
      </w:pPr>
    </w:p>
    <w:p w14:paraId="61556913" w14:textId="6E28B55C" w:rsidR="006D32C9" w:rsidRPr="00B27C3C" w:rsidRDefault="006D32C9" w:rsidP="006D32C9">
      <w:pPr>
        <w:shd w:val="clear" w:color="auto" w:fill="FFFFFF"/>
        <w:spacing w:after="0" w:line="240" w:lineRule="auto"/>
        <w:jc w:val="both"/>
        <w:rPr>
          <w:rFonts w:asciiTheme="minorHAnsi" w:hAnsiTheme="minorHAnsi" w:cstheme="minorHAnsi"/>
          <w:lang w:eastAsia="it-IT"/>
        </w:rPr>
      </w:pPr>
      <w:r w:rsidRPr="004234D6">
        <w:rPr>
          <w:rFonts w:asciiTheme="minorHAnsi" w:hAnsiTheme="minorHAnsi" w:cstheme="minorHAnsi"/>
          <w:lang w:eastAsia="it-IT"/>
        </w:rPr>
        <w:t xml:space="preserve">Nel 2021 la produzione di elettricità da fonti rinnovabili </w:t>
      </w:r>
      <w:r w:rsidR="00670C7D">
        <w:rPr>
          <w:rFonts w:asciiTheme="minorHAnsi" w:hAnsiTheme="minorHAnsi" w:cstheme="minorHAnsi"/>
          <w:lang w:eastAsia="it-IT"/>
        </w:rPr>
        <w:t xml:space="preserve">nel mondo </w:t>
      </w:r>
      <w:r w:rsidRPr="004234D6">
        <w:rPr>
          <w:rFonts w:asciiTheme="minorHAnsi" w:hAnsiTheme="minorHAnsi" w:cstheme="minorHAnsi"/>
          <w:lang w:eastAsia="it-IT"/>
        </w:rPr>
        <w:t>è stata pari al 28,3% del totale, con eolico e solare quintuplicati in 10 anni</w:t>
      </w:r>
      <w:r w:rsidRPr="00541BDE">
        <w:rPr>
          <w:rFonts w:asciiTheme="minorHAnsi" w:hAnsiTheme="minorHAnsi" w:cstheme="minorHAnsi"/>
          <w:lang w:eastAsia="it-IT"/>
        </w:rPr>
        <w:t>. In Italia - nel 2021 - il 36% dei consumi elettrici è stato soddisfatto da fonti rinnovabili, con una produzione di circa 113,</w:t>
      </w:r>
      <w:r w:rsidR="00670C7D">
        <w:rPr>
          <w:rFonts w:asciiTheme="minorHAnsi" w:hAnsiTheme="minorHAnsi" w:cstheme="minorHAnsi"/>
          <w:lang w:eastAsia="it-IT"/>
        </w:rPr>
        <w:t>8</w:t>
      </w:r>
      <w:r w:rsidRPr="00541BDE">
        <w:rPr>
          <w:rFonts w:asciiTheme="minorHAnsi" w:hAnsiTheme="minorHAnsi" w:cstheme="minorHAnsi"/>
          <w:lang w:eastAsia="it-IT"/>
        </w:rPr>
        <w:t xml:space="preserve"> TWh.</w:t>
      </w:r>
      <w:r w:rsidRPr="00B27C3C">
        <w:rPr>
          <w:rFonts w:asciiTheme="minorHAnsi" w:hAnsiTheme="minorHAnsi" w:cstheme="minorHAnsi"/>
          <w:lang w:eastAsia="it-IT"/>
        </w:rPr>
        <w:t xml:space="preserve"> Tuttavia, la potenza installata è ancora distante dai target di neutralità climatica previsti per il 2030. </w:t>
      </w:r>
      <w:r>
        <w:rPr>
          <w:rFonts w:asciiTheme="minorHAnsi" w:hAnsiTheme="minorHAnsi" w:cstheme="minorHAnsi"/>
          <w:lang w:eastAsia="it-IT"/>
        </w:rPr>
        <w:t xml:space="preserve">La nuova potenza installata nel </w:t>
      </w:r>
      <w:r w:rsidRPr="004234D6">
        <w:rPr>
          <w:rFonts w:asciiTheme="minorHAnsi" w:hAnsiTheme="minorHAnsi" w:cstheme="minorHAnsi"/>
          <w:lang w:eastAsia="it-IT"/>
        </w:rPr>
        <w:t xml:space="preserve">2021 è stata di 1.351 MW: sotto 1 GW di fotovoltaico (935 MW, 69,2% delle nuove installazioni), 404 MW di eolico che torna appena ai livelli </w:t>
      </w:r>
      <w:proofErr w:type="spellStart"/>
      <w:r w:rsidRPr="004234D6">
        <w:rPr>
          <w:rFonts w:asciiTheme="minorHAnsi" w:hAnsiTheme="minorHAnsi" w:cstheme="minorHAnsi"/>
          <w:lang w:eastAsia="it-IT"/>
        </w:rPr>
        <w:t>pre</w:t>
      </w:r>
      <w:proofErr w:type="spellEnd"/>
      <w:r w:rsidRPr="004234D6">
        <w:rPr>
          <w:rFonts w:asciiTheme="minorHAnsi" w:hAnsiTheme="minorHAnsi" w:cstheme="minorHAnsi"/>
          <w:lang w:eastAsia="it-IT"/>
        </w:rPr>
        <w:t xml:space="preserve">-pandemia (29,9% installazioni), 11 MW di idroelettrico (0,9%), mentre bioenergia e geotermia rimangono stabili. </w:t>
      </w:r>
      <w:r>
        <w:rPr>
          <w:rFonts w:asciiTheme="minorHAnsi" w:hAnsiTheme="minorHAnsi" w:cstheme="minorHAnsi"/>
          <w:lang w:eastAsia="it-IT"/>
        </w:rPr>
        <w:t>Q</w:t>
      </w:r>
      <w:r w:rsidRPr="004234D6">
        <w:rPr>
          <w:rFonts w:asciiTheme="minorHAnsi" w:hAnsiTheme="minorHAnsi" w:cstheme="minorHAnsi"/>
          <w:lang w:eastAsia="it-IT"/>
        </w:rPr>
        <w:t xml:space="preserve">ualche segnale positivo arriva dal primo semestre 2022 in cui l’Italia ha comunque già connesso oltre 1 GW di potenza fotovoltaica, entrando tra i 18 Paesi al mondo a superare la soglia di 1 GW/anno. </w:t>
      </w:r>
      <w:r w:rsidRPr="00B27C3C">
        <w:rPr>
          <w:rFonts w:asciiTheme="minorHAnsi" w:hAnsiTheme="minorHAnsi" w:cstheme="minorHAnsi"/>
          <w:lang w:eastAsia="it-IT"/>
        </w:rPr>
        <w:t>Ma la strada da percorrere è ancora lunga</w:t>
      </w:r>
      <w:r w:rsidR="00357DCD">
        <w:rPr>
          <w:rFonts w:asciiTheme="minorHAnsi" w:hAnsiTheme="minorHAnsi" w:cstheme="minorHAnsi"/>
          <w:lang w:eastAsia="it-IT"/>
        </w:rPr>
        <w:t xml:space="preserve">. </w:t>
      </w:r>
      <w:r w:rsidR="00357DCD" w:rsidRPr="004F573C">
        <w:rPr>
          <w:rFonts w:asciiTheme="minorHAnsi" w:hAnsiTheme="minorHAnsi" w:cstheme="minorHAnsi"/>
          <w:lang w:eastAsia="it-IT"/>
        </w:rPr>
        <w:t>A giugno 2022 Elettricità Futura ha calcolato in oltre 80 i GW da installare entro il 2030 e lo stesso Governo ha supportato i dati parlando di 70 GW da realizzare nello stesso arco di tempo: la realtà dei fatti è che l’Italia ha marciato al ritmo di poco più di 1 GW l’anno, a fronte di 7-8 GW che dovrebbe installare per raggiungere i traguardi stabiliti.</w:t>
      </w:r>
    </w:p>
    <w:p w14:paraId="24ACEB13" w14:textId="77777777" w:rsidR="006D32C9" w:rsidRPr="00B27C3C" w:rsidRDefault="006D32C9" w:rsidP="006D32C9">
      <w:pPr>
        <w:shd w:val="clear" w:color="auto" w:fill="FFFFFF"/>
        <w:spacing w:after="0" w:line="240" w:lineRule="auto"/>
        <w:jc w:val="both"/>
        <w:rPr>
          <w:rFonts w:asciiTheme="minorHAnsi" w:hAnsiTheme="minorHAnsi" w:cstheme="minorHAnsi"/>
          <w:lang w:eastAsia="it-IT"/>
        </w:rPr>
      </w:pPr>
    </w:p>
    <w:p w14:paraId="18C30455" w14:textId="1A4F2326" w:rsidR="006D32C9" w:rsidRPr="00302CF5" w:rsidRDefault="006D32C9" w:rsidP="006D32C9">
      <w:pPr>
        <w:autoSpaceDE w:val="0"/>
        <w:autoSpaceDN w:val="0"/>
        <w:adjustRightInd w:val="0"/>
        <w:spacing w:after="0" w:line="240" w:lineRule="auto"/>
        <w:jc w:val="both"/>
        <w:rPr>
          <w:rFonts w:cstheme="minorHAnsi"/>
          <w:sz w:val="28"/>
          <w:szCs w:val="28"/>
        </w:rPr>
      </w:pPr>
      <w:r w:rsidRPr="00B27C3C">
        <w:rPr>
          <w:rFonts w:asciiTheme="minorHAnsi" w:hAnsiTheme="minorHAnsi" w:cstheme="minorHAnsi"/>
          <w:b/>
          <w:bCs/>
          <w:lang w:eastAsia="it-IT"/>
        </w:rPr>
        <w:t xml:space="preserve">Sono oltre </w:t>
      </w:r>
      <w:r>
        <w:rPr>
          <w:rFonts w:asciiTheme="minorHAnsi" w:hAnsiTheme="minorHAnsi" w:cstheme="minorHAnsi"/>
          <w:b/>
          <w:bCs/>
          <w:lang w:eastAsia="it-IT"/>
        </w:rPr>
        <w:t xml:space="preserve">531 </w:t>
      </w:r>
      <w:r w:rsidRPr="00B27C3C">
        <w:rPr>
          <w:rFonts w:asciiTheme="minorHAnsi" w:hAnsiTheme="minorHAnsi" w:cstheme="minorHAnsi"/>
          <w:b/>
          <w:bCs/>
          <w:lang w:eastAsia="it-IT"/>
        </w:rPr>
        <w:t>mila le aziende che nel quinquennio 201</w:t>
      </w:r>
      <w:r>
        <w:rPr>
          <w:rFonts w:asciiTheme="minorHAnsi" w:hAnsiTheme="minorHAnsi" w:cstheme="minorHAnsi"/>
          <w:b/>
          <w:bCs/>
          <w:lang w:eastAsia="it-IT"/>
        </w:rPr>
        <w:t>7</w:t>
      </w:r>
      <w:r w:rsidRPr="00B27C3C">
        <w:rPr>
          <w:rFonts w:asciiTheme="minorHAnsi" w:hAnsiTheme="minorHAnsi" w:cstheme="minorHAnsi"/>
          <w:b/>
          <w:bCs/>
          <w:lang w:eastAsia="it-IT"/>
        </w:rPr>
        <w:t>-202</w:t>
      </w:r>
      <w:r>
        <w:rPr>
          <w:rFonts w:asciiTheme="minorHAnsi" w:hAnsiTheme="minorHAnsi" w:cstheme="minorHAnsi"/>
          <w:b/>
          <w:bCs/>
          <w:lang w:eastAsia="it-IT"/>
        </w:rPr>
        <w:t>1</w:t>
      </w:r>
      <w:r w:rsidRPr="00B27C3C">
        <w:rPr>
          <w:rFonts w:asciiTheme="minorHAnsi" w:hAnsiTheme="minorHAnsi" w:cstheme="minorHAnsi"/>
          <w:b/>
          <w:bCs/>
          <w:lang w:eastAsia="it-IT"/>
        </w:rPr>
        <w:t xml:space="preserve"> hanno deciso di investire in tecnologie e prodotti green</w:t>
      </w:r>
      <w:r>
        <w:rPr>
          <w:rFonts w:asciiTheme="minorHAnsi" w:hAnsiTheme="minorHAnsi" w:cstheme="minorHAnsi"/>
          <w:b/>
          <w:bCs/>
          <w:lang w:eastAsia="it-IT"/>
        </w:rPr>
        <w:t>:</w:t>
      </w:r>
      <w:r w:rsidRPr="00F803B6">
        <w:rPr>
          <w:rFonts w:asciiTheme="minorHAnsi" w:hAnsiTheme="minorHAnsi" w:cstheme="minorHAnsi"/>
          <w:b/>
          <w:bCs/>
          <w:lang w:eastAsia="it-IT"/>
        </w:rPr>
        <w:t xml:space="preserve"> </w:t>
      </w:r>
      <w:r w:rsidRPr="00F803B6">
        <w:rPr>
          <w:rFonts w:asciiTheme="minorHAnsi" w:hAnsiTheme="minorHAnsi" w:cstheme="minorHAnsi"/>
          <w:lang w:eastAsia="it-IT"/>
        </w:rPr>
        <w:t xml:space="preserve">il </w:t>
      </w:r>
      <w:r>
        <w:rPr>
          <w:rFonts w:asciiTheme="minorHAnsi" w:hAnsiTheme="minorHAnsi" w:cstheme="minorHAnsi"/>
          <w:lang w:eastAsia="it-IT"/>
        </w:rPr>
        <w:t>40,6</w:t>
      </w:r>
      <w:r w:rsidRPr="00F803B6">
        <w:rPr>
          <w:rFonts w:asciiTheme="minorHAnsi" w:hAnsiTheme="minorHAnsi" w:cstheme="minorHAnsi"/>
          <w:lang w:eastAsia="it-IT"/>
        </w:rPr>
        <w:t>% delle imprese nell’industria ha investito</w:t>
      </w:r>
      <w:r>
        <w:rPr>
          <w:rFonts w:asciiTheme="minorHAnsi" w:hAnsiTheme="minorHAnsi" w:cstheme="minorHAnsi"/>
          <w:lang w:eastAsia="it-IT"/>
        </w:rPr>
        <w:t xml:space="preserve">, </w:t>
      </w:r>
      <w:r w:rsidRPr="00F803B6">
        <w:rPr>
          <w:rFonts w:asciiTheme="minorHAnsi" w:hAnsiTheme="minorHAnsi" w:cstheme="minorHAnsi"/>
          <w:lang w:eastAsia="it-IT"/>
        </w:rPr>
        <w:t xml:space="preserve">valore che sale al </w:t>
      </w:r>
      <w:r>
        <w:rPr>
          <w:rFonts w:asciiTheme="minorHAnsi" w:hAnsiTheme="minorHAnsi" w:cstheme="minorHAnsi"/>
          <w:lang w:eastAsia="it-IT"/>
        </w:rPr>
        <w:t>42,5</w:t>
      </w:r>
      <w:r w:rsidRPr="00F803B6">
        <w:rPr>
          <w:rFonts w:asciiTheme="minorHAnsi" w:hAnsiTheme="minorHAnsi" w:cstheme="minorHAnsi"/>
          <w:lang w:eastAsia="it-IT"/>
        </w:rPr>
        <w:t xml:space="preserve">% nella manifattura. </w:t>
      </w:r>
      <w:r w:rsidRPr="00257EEB">
        <w:rPr>
          <w:rFonts w:asciiTheme="minorHAnsi" w:hAnsiTheme="minorHAnsi" w:cstheme="minorHAnsi"/>
          <w:lang w:eastAsia="it-IT"/>
        </w:rPr>
        <w:t>Guardando alle performance economiche è possibile comprendere anche le ragioni che spingono le imprese a investire in prodotti e tecnologie verdi. Le imprese eco-investitrici sono infatti più dinamiche sui mercati esteri rispetto a quelle che non investono (il 35% delle prime preved</w:t>
      </w:r>
      <w:r w:rsidR="005B3493">
        <w:rPr>
          <w:rFonts w:asciiTheme="minorHAnsi" w:hAnsiTheme="minorHAnsi" w:cstheme="minorHAnsi"/>
          <w:lang w:eastAsia="it-IT"/>
        </w:rPr>
        <w:t>e</w:t>
      </w:r>
      <w:r w:rsidRPr="00257EEB">
        <w:rPr>
          <w:rFonts w:asciiTheme="minorHAnsi" w:hAnsiTheme="minorHAnsi" w:cstheme="minorHAnsi"/>
          <w:lang w:eastAsia="it-IT"/>
        </w:rPr>
        <w:t xml:space="preserve"> un aumento nelle esportazioni </w:t>
      </w:r>
      <w:r w:rsidR="00CE53D6">
        <w:rPr>
          <w:rFonts w:asciiTheme="minorHAnsi" w:hAnsiTheme="minorHAnsi" w:cstheme="minorHAnsi"/>
          <w:lang w:eastAsia="it-IT"/>
        </w:rPr>
        <w:t xml:space="preserve">nel 2022 </w:t>
      </w:r>
      <w:r w:rsidRPr="00257EEB">
        <w:rPr>
          <w:rFonts w:asciiTheme="minorHAnsi" w:hAnsiTheme="minorHAnsi" w:cstheme="minorHAnsi"/>
          <w:lang w:eastAsia="it-IT"/>
        </w:rPr>
        <w:t>contro un più ridotto 26% di quelle che non hanno investito) percentualmente aumentano di più il fatturato (49% contro 39%) e le assunzioni (23% contro 16%).</w:t>
      </w:r>
      <w:r>
        <w:rPr>
          <w:rFonts w:cstheme="minorHAnsi"/>
          <w:sz w:val="28"/>
          <w:szCs w:val="28"/>
        </w:rPr>
        <w:t xml:space="preserve"> </w:t>
      </w:r>
    </w:p>
    <w:p w14:paraId="0C89EED9" w14:textId="77777777" w:rsidR="006D32C9" w:rsidRPr="00F803B6" w:rsidRDefault="006D32C9" w:rsidP="006D32C9">
      <w:pPr>
        <w:spacing w:after="120" w:line="240" w:lineRule="auto"/>
        <w:jc w:val="both"/>
        <w:rPr>
          <w:rFonts w:asciiTheme="minorHAnsi" w:hAnsiTheme="minorHAnsi" w:cstheme="minorHAnsi"/>
          <w:lang w:eastAsia="it-IT"/>
        </w:rPr>
      </w:pPr>
    </w:p>
    <w:p w14:paraId="229CB6A0" w14:textId="7CA42AE7" w:rsidR="006D32C9" w:rsidRPr="00B27C3C" w:rsidRDefault="006D32C9" w:rsidP="006D32C9">
      <w:pPr>
        <w:spacing w:after="120" w:line="240" w:lineRule="auto"/>
        <w:jc w:val="both"/>
        <w:rPr>
          <w:rFonts w:asciiTheme="minorHAnsi" w:hAnsiTheme="minorHAnsi" w:cstheme="minorHAnsi"/>
        </w:rPr>
      </w:pPr>
      <w:r>
        <w:rPr>
          <w:rFonts w:asciiTheme="minorHAnsi" w:hAnsiTheme="minorHAnsi" w:cstheme="minorHAnsi"/>
          <w:lang w:eastAsia="it-IT"/>
        </w:rPr>
        <w:lastRenderedPageBreak/>
        <w:t xml:space="preserve">Nel 2021 </w:t>
      </w:r>
      <w:r w:rsidRPr="005B2857">
        <w:rPr>
          <w:rFonts w:eastAsia="Times New Roman" w:cs="Calibri"/>
          <w:lang w:eastAsia="it-IT"/>
        </w:rPr>
        <w:t xml:space="preserve">l’occupazione green non </w:t>
      </w:r>
      <w:r>
        <w:rPr>
          <w:rFonts w:eastAsia="Times New Roman" w:cs="Calibri"/>
          <w:lang w:eastAsia="it-IT"/>
        </w:rPr>
        <w:t>è</w:t>
      </w:r>
      <w:r w:rsidRPr="005B2857">
        <w:rPr>
          <w:rFonts w:eastAsia="Times New Roman" w:cs="Calibri"/>
          <w:lang w:eastAsia="it-IT"/>
        </w:rPr>
        <w:t xml:space="preserve"> stata in grado di differenziare il proprio andamento rispetto alla dinamica occupazionale generale, interrompendo il trend di crescita riscontrato negli ultimi anni. </w:t>
      </w:r>
      <w:r w:rsidRPr="00B27C3C">
        <w:rPr>
          <w:rFonts w:asciiTheme="minorHAnsi" w:hAnsiTheme="minorHAnsi" w:cstheme="minorHAnsi"/>
          <w:b/>
          <w:bCs/>
          <w:lang w:eastAsia="it-IT"/>
        </w:rPr>
        <w:t>I contratti relativi ai</w:t>
      </w:r>
      <w:r w:rsidRPr="00B27C3C">
        <w:rPr>
          <w:rFonts w:asciiTheme="minorHAnsi" w:hAnsiTheme="minorHAnsi" w:cstheme="minorHAnsi"/>
          <w:lang w:eastAsia="it-IT"/>
        </w:rPr>
        <w:t xml:space="preserve"> </w:t>
      </w:r>
      <w:r w:rsidRPr="00B27C3C">
        <w:rPr>
          <w:rFonts w:asciiTheme="minorHAnsi" w:hAnsiTheme="minorHAnsi" w:cstheme="minorHAnsi"/>
          <w:b/>
          <w:bCs/>
          <w:lang w:eastAsia="it-IT"/>
        </w:rPr>
        <w:t>green jobs</w:t>
      </w:r>
      <w:r w:rsidRPr="00B27C3C">
        <w:rPr>
          <w:rFonts w:asciiTheme="minorHAnsi" w:hAnsiTheme="minorHAnsi" w:cstheme="minorHAnsi"/>
          <w:lang w:eastAsia="it-IT"/>
        </w:rPr>
        <w:t xml:space="preserve"> – con attivazione 202</w:t>
      </w:r>
      <w:r>
        <w:rPr>
          <w:rFonts w:asciiTheme="minorHAnsi" w:hAnsiTheme="minorHAnsi" w:cstheme="minorHAnsi"/>
          <w:lang w:eastAsia="it-IT"/>
        </w:rPr>
        <w:t>1</w:t>
      </w:r>
      <w:r w:rsidRPr="00B27C3C">
        <w:rPr>
          <w:rFonts w:asciiTheme="minorHAnsi" w:hAnsiTheme="minorHAnsi" w:cstheme="minorHAnsi"/>
          <w:lang w:eastAsia="it-IT"/>
        </w:rPr>
        <w:t>- rappresentano il 3</w:t>
      </w:r>
      <w:r>
        <w:rPr>
          <w:rFonts w:asciiTheme="minorHAnsi" w:hAnsiTheme="minorHAnsi" w:cstheme="minorHAnsi"/>
          <w:lang w:eastAsia="it-IT"/>
        </w:rPr>
        <w:t>4,5</w:t>
      </w:r>
      <w:r w:rsidRPr="00B27C3C">
        <w:rPr>
          <w:rFonts w:asciiTheme="minorHAnsi" w:hAnsiTheme="minorHAnsi" w:cstheme="minorHAnsi"/>
          <w:lang w:eastAsia="it-IT"/>
        </w:rPr>
        <w:t xml:space="preserve">% dei nuovi contratti previsti nell’anno. Andando nello specifico delle figure ricercate dalle aziende per le professioni di green jobs, emerge una domanda per figure professionali più qualificate ed esperte in termini relativi rispetto alle altre figure, che si rispecchia in una domanda di green jobs predominante in aree aziendali ad alto valore aggiunto. </w:t>
      </w:r>
      <w:r w:rsidRPr="00B27C3C">
        <w:rPr>
          <w:rFonts w:asciiTheme="minorHAnsi" w:hAnsiTheme="minorHAnsi" w:cstheme="minorHAnsi"/>
        </w:rPr>
        <w:t xml:space="preserve">A fine anno gli occupati che svolgono una </w:t>
      </w:r>
      <w:r w:rsidRPr="00B27C3C">
        <w:rPr>
          <w:rFonts w:asciiTheme="minorHAnsi" w:hAnsiTheme="minorHAnsi" w:cstheme="minorHAnsi"/>
          <w:b/>
          <w:bCs/>
        </w:rPr>
        <w:t>professione di green job</w:t>
      </w:r>
      <w:r w:rsidRPr="00B27C3C">
        <w:rPr>
          <w:rFonts w:asciiTheme="minorHAnsi" w:hAnsiTheme="minorHAnsi" w:cstheme="minorHAnsi"/>
        </w:rPr>
        <w:t xml:space="preserve"> </w:t>
      </w:r>
      <w:r w:rsidRPr="00B27C3C">
        <w:rPr>
          <w:rFonts w:asciiTheme="minorHAnsi" w:hAnsiTheme="minorHAnsi" w:cstheme="minorHAnsi"/>
          <w:b/>
          <w:bCs/>
        </w:rPr>
        <w:t xml:space="preserve">erano pari a </w:t>
      </w:r>
      <w:r w:rsidRPr="005B2857">
        <w:rPr>
          <w:rFonts w:eastAsia="Times New Roman" w:cs="Calibri"/>
          <w:lang w:eastAsia="it-IT"/>
        </w:rPr>
        <w:t xml:space="preserve">3.095,8 </w:t>
      </w:r>
      <w:r w:rsidRPr="00B27C3C">
        <w:rPr>
          <w:rFonts w:asciiTheme="minorHAnsi" w:hAnsiTheme="minorHAnsi" w:cstheme="minorHAnsi"/>
          <w:b/>
          <w:bCs/>
        </w:rPr>
        <w:t>mila unità</w:t>
      </w:r>
      <w:r w:rsidRPr="00B27C3C">
        <w:rPr>
          <w:rFonts w:asciiTheme="minorHAnsi" w:hAnsiTheme="minorHAnsi" w:cstheme="minorHAnsi"/>
        </w:rPr>
        <w:t xml:space="preserve">, di cui </w:t>
      </w:r>
      <w:r w:rsidRPr="005B2857">
        <w:rPr>
          <w:rFonts w:eastAsia="Times New Roman" w:cs="Calibri"/>
          <w:lang w:eastAsia="it-IT"/>
        </w:rPr>
        <w:t xml:space="preserve">1.017,8 </w:t>
      </w:r>
      <w:r w:rsidRPr="00B27C3C">
        <w:rPr>
          <w:rFonts w:asciiTheme="minorHAnsi" w:hAnsiTheme="minorHAnsi" w:cstheme="minorHAnsi"/>
        </w:rPr>
        <w:t>mila unità al Nord-Ovest (</w:t>
      </w:r>
      <w:r>
        <w:rPr>
          <w:rFonts w:asciiTheme="minorHAnsi" w:hAnsiTheme="minorHAnsi" w:cstheme="minorHAnsi"/>
        </w:rPr>
        <w:t>32,9</w:t>
      </w:r>
      <w:r w:rsidR="0066061F">
        <w:rPr>
          <w:rFonts w:asciiTheme="minorHAnsi" w:hAnsiTheme="minorHAnsi" w:cstheme="minorHAnsi"/>
        </w:rPr>
        <w:t>%</w:t>
      </w:r>
      <w:r w:rsidRPr="00B27C3C">
        <w:rPr>
          <w:rFonts w:asciiTheme="minorHAnsi" w:hAnsiTheme="minorHAnsi" w:cstheme="minorHAnsi"/>
        </w:rPr>
        <w:t xml:space="preserve"> del totale </w:t>
      </w:r>
      <w:r>
        <w:rPr>
          <w:rFonts w:asciiTheme="minorHAnsi" w:hAnsiTheme="minorHAnsi" w:cstheme="minorHAnsi"/>
        </w:rPr>
        <w:t xml:space="preserve">green </w:t>
      </w:r>
      <w:r w:rsidRPr="00B27C3C">
        <w:rPr>
          <w:rFonts w:asciiTheme="minorHAnsi" w:hAnsiTheme="minorHAnsi" w:cstheme="minorHAnsi"/>
        </w:rPr>
        <w:t xml:space="preserve">nazionale), </w:t>
      </w:r>
      <w:r w:rsidRPr="005B2857">
        <w:rPr>
          <w:rFonts w:eastAsia="Times New Roman" w:cs="Calibri"/>
          <w:lang w:eastAsia="it-IT"/>
        </w:rPr>
        <w:t xml:space="preserve">741,2 </w:t>
      </w:r>
      <w:r w:rsidRPr="00B27C3C">
        <w:rPr>
          <w:rFonts w:asciiTheme="minorHAnsi" w:hAnsiTheme="minorHAnsi" w:cstheme="minorHAnsi"/>
        </w:rPr>
        <w:t>mila nel Nord-Est (</w:t>
      </w:r>
      <w:r>
        <w:rPr>
          <w:rFonts w:eastAsia="Times New Roman" w:cs="Calibri"/>
          <w:lang w:eastAsia="it-IT"/>
        </w:rPr>
        <w:t>23,9%</w:t>
      </w:r>
      <w:r w:rsidRPr="00B27C3C">
        <w:rPr>
          <w:rFonts w:asciiTheme="minorHAnsi" w:hAnsiTheme="minorHAnsi" w:cstheme="minorHAnsi"/>
        </w:rPr>
        <w:t xml:space="preserve">), </w:t>
      </w:r>
      <w:r w:rsidRPr="005B2857">
        <w:rPr>
          <w:rFonts w:eastAsia="Times New Roman" w:cs="Calibri"/>
          <w:lang w:eastAsia="it-IT"/>
        </w:rPr>
        <w:t>687,9</w:t>
      </w:r>
      <w:r w:rsidRPr="00B27C3C">
        <w:rPr>
          <w:rFonts w:asciiTheme="minorHAnsi" w:hAnsiTheme="minorHAnsi" w:cstheme="minorHAnsi"/>
        </w:rPr>
        <w:t xml:space="preserve"> mila unità nel Mezzogiorno (</w:t>
      </w:r>
      <w:r w:rsidRPr="005B2857">
        <w:rPr>
          <w:rFonts w:eastAsia="Times New Roman" w:cs="Calibri"/>
          <w:lang w:eastAsia="it-IT"/>
        </w:rPr>
        <w:t>22,2%</w:t>
      </w:r>
      <w:r w:rsidRPr="00B27C3C">
        <w:rPr>
          <w:rFonts w:asciiTheme="minorHAnsi" w:hAnsiTheme="minorHAnsi" w:cstheme="minorHAnsi"/>
        </w:rPr>
        <w:t>)</w:t>
      </w:r>
      <w:r>
        <w:rPr>
          <w:rFonts w:asciiTheme="minorHAnsi" w:hAnsiTheme="minorHAnsi" w:cstheme="minorHAnsi"/>
        </w:rPr>
        <w:t xml:space="preserve"> e le restanti </w:t>
      </w:r>
      <w:r w:rsidRPr="005B2857">
        <w:rPr>
          <w:rFonts w:eastAsia="Times New Roman" w:cs="Calibri"/>
          <w:lang w:eastAsia="it-IT"/>
        </w:rPr>
        <w:t>648,8</w:t>
      </w:r>
      <w:r w:rsidRPr="00B27C3C">
        <w:rPr>
          <w:rFonts w:asciiTheme="minorHAnsi" w:hAnsiTheme="minorHAnsi" w:cstheme="minorHAnsi"/>
        </w:rPr>
        <w:t xml:space="preserve"> mila al Centro (</w:t>
      </w:r>
      <w:r>
        <w:rPr>
          <w:rFonts w:asciiTheme="minorHAnsi" w:hAnsiTheme="minorHAnsi" w:cstheme="minorHAnsi"/>
        </w:rPr>
        <w:t>21%</w:t>
      </w:r>
      <w:r w:rsidRPr="00B27C3C">
        <w:rPr>
          <w:rFonts w:asciiTheme="minorHAnsi" w:hAnsiTheme="minorHAnsi" w:cstheme="minorHAnsi"/>
        </w:rPr>
        <w:t>)</w:t>
      </w:r>
      <w:r>
        <w:rPr>
          <w:rFonts w:asciiTheme="minorHAnsi" w:hAnsiTheme="minorHAnsi" w:cstheme="minorHAnsi"/>
        </w:rPr>
        <w:t>.</w:t>
      </w:r>
      <w:r w:rsidRPr="00B27C3C">
        <w:rPr>
          <w:rFonts w:asciiTheme="minorHAnsi" w:hAnsiTheme="minorHAnsi" w:cstheme="minorHAnsi"/>
        </w:rPr>
        <w:t xml:space="preserve"> </w:t>
      </w:r>
    </w:p>
    <w:p w14:paraId="7116F003" w14:textId="048D5FB3" w:rsidR="006D32C9" w:rsidRPr="00AB7887" w:rsidRDefault="006D32C9" w:rsidP="006D32C9">
      <w:pPr>
        <w:spacing w:after="200" w:line="276" w:lineRule="auto"/>
        <w:jc w:val="both"/>
      </w:pPr>
      <w:r w:rsidRPr="00B27C3C">
        <w:rPr>
          <w:rFonts w:asciiTheme="minorHAnsi" w:hAnsiTheme="minorHAnsi" w:cstheme="minorHAnsi"/>
        </w:rPr>
        <w:t xml:space="preserve">Siamo </w:t>
      </w:r>
      <w:r w:rsidRPr="00B27C3C">
        <w:rPr>
          <w:rFonts w:asciiTheme="minorHAnsi" w:hAnsiTheme="minorHAnsi" w:cstheme="minorHAnsi"/>
          <w:b/>
          <w:bCs/>
        </w:rPr>
        <w:t>leader nell’economia circolare</w:t>
      </w:r>
      <w:r w:rsidRPr="00B27C3C">
        <w:rPr>
          <w:rFonts w:asciiTheme="minorHAnsi" w:hAnsiTheme="minorHAnsi" w:cstheme="minorHAnsi"/>
        </w:rPr>
        <w:t xml:space="preserve"> con un </w:t>
      </w:r>
      <w:r>
        <w:rPr>
          <w:rFonts w:asciiTheme="minorHAnsi" w:hAnsiTheme="minorHAnsi" w:cstheme="minorHAnsi"/>
        </w:rPr>
        <w:t xml:space="preserve">avvio a </w:t>
      </w:r>
      <w:r w:rsidRPr="00B27C3C">
        <w:rPr>
          <w:rFonts w:asciiTheme="minorHAnsi" w:hAnsiTheme="minorHAnsi" w:cstheme="minorHAnsi"/>
        </w:rPr>
        <w:t xml:space="preserve">riciclo sulla totalità dei rifiuti - urbani e speciali - del </w:t>
      </w:r>
      <w:r>
        <w:rPr>
          <w:rFonts w:asciiTheme="minorHAnsi" w:hAnsiTheme="minorHAnsi" w:cstheme="minorHAnsi"/>
        </w:rPr>
        <w:t>83,4</w:t>
      </w:r>
      <w:r w:rsidRPr="00B27C3C">
        <w:rPr>
          <w:rFonts w:asciiTheme="minorHAnsi" w:hAnsiTheme="minorHAnsi" w:cstheme="minorHAnsi"/>
        </w:rPr>
        <w:t>% (20</w:t>
      </w:r>
      <w:r>
        <w:rPr>
          <w:rFonts w:asciiTheme="minorHAnsi" w:hAnsiTheme="minorHAnsi" w:cstheme="minorHAnsi"/>
        </w:rPr>
        <w:t>20</w:t>
      </w:r>
      <w:r w:rsidRPr="00B27C3C">
        <w:rPr>
          <w:rFonts w:asciiTheme="minorHAnsi" w:hAnsiTheme="minorHAnsi" w:cstheme="minorHAnsi"/>
        </w:rPr>
        <w:t>): un risultato ben superiore alla media europea (</w:t>
      </w:r>
      <w:r>
        <w:rPr>
          <w:rFonts w:asciiTheme="minorHAnsi" w:hAnsiTheme="minorHAnsi" w:cstheme="minorHAnsi"/>
        </w:rPr>
        <w:t>53,8</w:t>
      </w:r>
      <w:r w:rsidRPr="00B27C3C">
        <w:rPr>
          <w:rFonts w:asciiTheme="minorHAnsi" w:hAnsiTheme="minorHAnsi" w:cstheme="minorHAnsi"/>
        </w:rPr>
        <w:t>%) e a quella degli altri grandi Paesi come Germania (</w:t>
      </w:r>
      <w:r>
        <w:rPr>
          <w:rFonts w:asciiTheme="minorHAnsi" w:hAnsiTheme="minorHAnsi" w:cstheme="minorHAnsi"/>
        </w:rPr>
        <w:t>70</w:t>
      </w:r>
      <w:r w:rsidRPr="00B27C3C">
        <w:rPr>
          <w:rFonts w:asciiTheme="minorHAnsi" w:hAnsiTheme="minorHAnsi" w:cstheme="minorHAnsi"/>
        </w:rPr>
        <w:t>%), Francia (6</w:t>
      </w:r>
      <w:r>
        <w:rPr>
          <w:rFonts w:asciiTheme="minorHAnsi" w:hAnsiTheme="minorHAnsi" w:cstheme="minorHAnsi"/>
        </w:rPr>
        <w:t>4,5</w:t>
      </w:r>
      <w:r w:rsidRPr="00B27C3C">
        <w:rPr>
          <w:rFonts w:asciiTheme="minorHAnsi" w:hAnsiTheme="minorHAnsi" w:cstheme="minorHAnsi"/>
        </w:rPr>
        <w:t xml:space="preserve">%) e </w:t>
      </w:r>
      <w:r>
        <w:rPr>
          <w:rFonts w:asciiTheme="minorHAnsi" w:hAnsiTheme="minorHAnsi" w:cstheme="minorHAnsi"/>
        </w:rPr>
        <w:t>Spagna</w:t>
      </w:r>
      <w:r w:rsidRPr="00B27C3C">
        <w:rPr>
          <w:rFonts w:asciiTheme="minorHAnsi" w:hAnsiTheme="minorHAnsi" w:cstheme="minorHAnsi"/>
        </w:rPr>
        <w:t xml:space="preserve"> (</w:t>
      </w:r>
      <w:r w:rsidRPr="00B03262">
        <w:rPr>
          <w:rFonts w:cs="Calibri"/>
        </w:rPr>
        <w:t>65,3</w:t>
      </w:r>
      <w:r w:rsidRPr="00B27C3C">
        <w:rPr>
          <w:rFonts w:asciiTheme="minorHAnsi" w:hAnsiTheme="minorHAnsi" w:cstheme="minorHAnsi"/>
        </w:rPr>
        <w:t>%)</w:t>
      </w:r>
      <w:r>
        <w:rPr>
          <w:rFonts w:asciiTheme="minorHAnsi" w:hAnsiTheme="minorHAnsi" w:cstheme="minorHAnsi"/>
        </w:rPr>
        <w:t xml:space="preserve">. </w:t>
      </w:r>
      <w:r w:rsidRPr="00B27C3C">
        <w:rPr>
          <w:rFonts w:asciiTheme="minorHAnsi" w:hAnsiTheme="minorHAnsi" w:cstheme="minorHAnsi"/>
        </w:rPr>
        <w:t>A sottolineare il potenziale dell’Italia nella valorizzazione di materia a fine vita, anche il quarto posto al mondo come produttore di biogas – da frazione organica, fanghi di depurazione e settore agricolo - dopo Germania, Cina e Stati Uniti.</w:t>
      </w:r>
      <w:r>
        <w:rPr>
          <w:rFonts w:asciiTheme="minorHAnsi" w:hAnsiTheme="minorHAnsi" w:cstheme="minorHAnsi"/>
        </w:rPr>
        <w:t xml:space="preserve"> Nel biennio 2020-2021</w:t>
      </w:r>
      <w:r w:rsidRPr="00B03262">
        <w:t xml:space="preserve"> si è inoltre verificato un inatteso </w:t>
      </w:r>
      <w:r w:rsidRPr="00B03262">
        <w:rPr>
          <w:b/>
          <w:bCs/>
        </w:rPr>
        <w:t>consolidamento della capacità di riciclo industriale dell’Italia</w:t>
      </w:r>
      <w:r w:rsidRPr="00B03262">
        <w:t xml:space="preserve"> – specialmente nel comparto cartario – che ha visto in tutti i settori incrementare, anche in maniera importante, la quota di materie seconde impiegate</w:t>
      </w:r>
      <w:r>
        <w:t xml:space="preserve">. </w:t>
      </w:r>
      <w:r w:rsidRPr="00B03262">
        <w:t xml:space="preserve">Un eccellente risultato per la transizione ecologica e lo sviluppo di un’economia sempre più circolare. </w:t>
      </w:r>
      <w:r w:rsidRPr="00AB7887">
        <w:t xml:space="preserve">Tuttavia, in alcuni settori l’Italia deve ancora far ampio affidamento sulle importazioni di materia seconda dall’estero. </w:t>
      </w:r>
      <w:bookmarkStart w:id="2" w:name="_Hlk116468389"/>
      <w:r w:rsidRPr="00AB7887">
        <w:t xml:space="preserve">Buone anche le performance </w:t>
      </w:r>
      <w:r w:rsidR="008C57D8">
        <w:t xml:space="preserve">complessive </w:t>
      </w:r>
      <w:r w:rsidRPr="00AB7887">
        <w:t xml:space="preserve">del sistema </w:t>
      </w:r>
      <w:r w:rsidR="008C57D8">
        <w:t>produttivo</w:t>
      </w:r>
      <w:r w:rsidRPr="00AB7887">
        <w:t xml:space="preserve"> italiano, che a parità di valore prodotto genera meno rifiuti, con 47,4 tonnellate di rifiuti per milione di euro prodotto (2020), seconda solo alla Spagna (40,7), e un tasso d’uso di materia seconda d</w:t>
      </w:r>
      <w:r w:rsidR="008C57D8">
        <w:t>el</w:t>
      </w:r>
      <w:r w:rsidRPr="00AB7887">
        <w:t xml:space="preserve"> 21,6% (2020), che si avvicina al primato della Francia (22,2%). A questi si aggiungono i primati nella produttività nell’uso di materie prime (PIL/Consumo domestico di materia), nella produttività per consumi energetici (PIL/consumo lordo energia), e un buon posizionamento relativo all’efficienza delle emissioni (CO</w:t>
      </w:r>
      <w:r w:rsidRPr="007C0655">
        <w:rPr>
          <w:vertAlign w:val="subscript"/>
        </w:rPr>
        <w:t>2</w:t>
      </w:r>
      <w:r w:rsidR="00DB78FB">
        <w:t>eq</w:t>
      </w:r>
      <w:r w:rsidRPr="00AB7887">
        <w:t xml:space="preserve">/PIL). </w:t>
      </w:r>
      <w:bookmarkEnd w:id="2"/>
    </w:p>
    <w:p w14:paraId="65745AC1" w14:textId="1763EC5E" w:rsidR="006D32C9" w:rsidRPr="00DB78FB" w:rsidRDefault="006D32C9" w:rsidP="00DB78FB">
      <w:pPr>
        <w:spacing w:after="0" w:line="240" w:lineRule="auto"/>
        <w:jc w:val="both"/>
        <w:rPr>
          <w:rFonts w:eastAsia="Times New Roman" w:cstheme="minorHAnsi"/>
          <w:b/>
          <w:bCs/>
          <w:color w:val="000000"/>
          <w:sz w:val="28"/>
          <w:szCs w:val="28"/>
          <w:lang w:eastAsia="it-IT"/>
        </w:rPr>
      </w:pPr>
      <w:r w:rsidRPr="00D749C3">
        <w:t xml:space="preserve">Le Geografie del rapporto descrivono ampliamente i settori produttivi italiani, con sostenibilità ed economia circolare che si consolidano come temi nelle strategie delle aziende. </w:t>
      </w:r>
    </w:p>
    <w:p w14:paraId="095214F5" w14:textId="77777777" w:rsidR="00933CE8" w:rsidRPr="00D749C3" w:rsidRDefault="00933CE8" w:rsidP="006D32C9">
      <w:pPr>
        <w:shd w:val="clear" w:color="auto" w:fill="FFFFFF"/>
        <w:spacing w:after="0" w:line="240" w:lineRule="auto"/>
        <w:jc w:val="both"/>
      </w:pPr>
    </w:p>
    <w:p w14:paraId="620DE7C3" w14:textId="6710B5E4" w:rsidR="00933CE8" w:rsidRDefault="006D32C9" w:rsidP="006D32C9">
      <w:pPr>
        <w:spacing w:line="240" w:lineRule="auto"/>
        <w:jc w:val="both"/>
      </w:pPr>
      <w:r>
        <w:t>N</w:t>
      </w:r>
      <w:r w:rsidRPr="00D749C3">
        <w:t>ella filiera agroalimentar</w:t>
      </w:r>
      <w:r>
        <w:t>e</w:t>
      </w:r>
      <w:r w:rsidRPr="00D749C3">
        <w:t xml:space="preserve"> l’Italia ha diminuito le vendite di prodotti fitosanitari del 19%, ed è leader nel biologico europeo, con un’incidenza sulla superficie agricola utilizzata del 17,4% (2021). Inoltre, è in Italia il distretto biologico più grande d’Europa. </w:t>
      </w:r>
    </w:p>
    <w:p w14:paraId="5CC2BDFC" w14:textId="04FB04DC" w:rsidR="00440A5A" w:rsidRPr="00667851" w:rsidRDefault="006D32C9" w:rsidP="00667851">
      <w:pPr>
        <w:spacing w:line="276" w:lineRule="auto"/>
        <w:jc w:val="both"/>
        <w:rPr>
          <w:rFonts w:cstheme="minorHAnsi"/>
          <w:sz w:val="28"/>
          <w:szCs w:val="28"/>
        </w:rPr>
      </w:pPr>
      <w:r w:rsidRPr="00D749C3">
        <w:t xml:space="preserve">Anche nel mondo dell’edilizia, come evidenziato dai dati degli investimenti, è forte la spinta alla sostenibilità. </w:t>
      </w:r>
      <w:r w:rsidR="00155FE4" w:rsidRPr="00155FE4">
        <w:t xml:space="preserve">Gli incentivi fiscali e bonus statali hanno fatto registrare una crescita degli investimenti (+25%) in riqualificazione del patrimonio abitativo nel 2021. </w:t>
      </w:r>
      <w:r w:rsidR="008257D8">
        <w:t>Per il</w:t>
      </w:r>
      <w:r w:rsidR="00155FE4" w:rsidRPr="00155FE4">
        <w:t xml:space="preserve"> Superbonus</w:t>
      </w:r>
      <w:r w:rsidR="008257D8">
        <w:t>, che va sicuramente migliorato,</w:t>
      </w:r>
      <w:r w:rsidR="00155FE4" w:rsidRPr="00155FE4">
        <w:t xml:space="preserve"> si calcola un impatto positivo sull’ambiente di valore pari a 979 mila tonnellate di CO</w:t>
      </w:r>
      <w:r w:rsidR="00155FE4" w:rsidRPr="00B30945">
        <w:rPr>
          <w:vertAlign w:val="subscript"/>
        </w:rPr>
        <w:t>2</w:t>
      </w:r>
      <w:r w:rsidR="00155FE4" w:rsidRPr="00155FE4">
        <w:t xml:space="preserve"> risparmiata a cantieri conclusi e un risparmio medio annuo in bolletta di 500 euro per ogni beneficiario e di 15,3 miliardi di euro totali.</w:t>
      </w:r>
    </w:p>
    <w:p w14:paraId="4213A8BC" w14:textId="51558A43" w:rsidR="00DC09E1" w:rsidRDefault="006E2355" w:rsidP="006A5A69">
      <w:pPr>
        <w:spacing w:line="276" w:lineRule="auto"/>
        <w:jc w:val="both"/>
        <w:rPr>
          <w:vertAlign w:val="superscript"/>
        </w:rPr>
      </w:pPr>
      <w:r w:rsidRPr="006E2355">
        <w:t>La filiera arredo-casa, come già rilevato nelle precedenti edizioni del rapporto, si conferma fortemente attiva sul tema sostenibilità: il 95% del legno viene riciclato per produrre pannelli per l’arredo, mentre il 67% delle imprese utilizza materie prime seconde e l’81% legno prodotto in modo sostenibile e recentemente si è dotata di un piano per accelerare nella transizione ecologica.</w:t>
      </w:r>
    </w:p>
    <w:p w14:paraId="3048630F" w14:textId="073CF989" w:rsidR="006A5A69" w:rsidRPr="0088224E" w:rsidRDefault="00DC09E1" w:rsidP="006A5A69">
      <w:pPr>
        <w:spacing w:line="276" w:lineRule="auto"/>
        <w:jc w:val="both"/>
      </w:pPr>
      <w:r w:rsidRPr="00D749C3">
        <w:lastRenderedPageBreak/>
        <w:t xml:space="preserve"> </w:t>
      </w:r>
      <w:r w:rsidR="006A5A69" w:rsidRPr="0088224E">
        <w:t>Il settore della meccanica, secondo in Europa per occupati, sta facendo i conti con il rischio di approvvigionamento delle materie prime critiche di cui l’Italia è fortemente dipendente dall’estero. Tuttavia, il comparto è in cerca soluzioni per allungare la vita utile dei macchinari, recuperare materiali per dare loro nuova utilità nel settore, digitalizzare ed efficientare i processi. Particolarmente spinti gli investimenti nel mondo delle acciaierie, anche queste in forte stress per l’aumento dei costi del gas: da Feralpi che ha annunciato un investimento di 116 mln per la realizzazione di un impianto fotovoltaico per raggiungere una produzione di 200 milioni di KW/h, ad Arvedi prima acciaieria al mondo certificata NET ZERO EMISSIONS, ovvero a zero emissioni nette di anidride carbonica. Un risultato raggiunto 28 anni prima del target fissato dalla Commissione Europea.</w:t>
      </w:r>
    </w:p>
    <w:p w14:paraId="29459A30" w14:textId="493DA9F3" w:rsidR="00DF4076" w:rsidRPr="0088224E" w:rsidRDefault="00DF4076" w:rsidP="00DF4076">
      <w:pPr>
        <w:spacing w:line="276" w:lineRule="auto"/>
        <w:jc w:val="both"/>
      </w:pPr>
      <w:r w:rsidRPr="0088224E">
        <w:t xml:space="preserve">Emissioni a cui deve guardare con attenzione la filiera, che punta all’elettrificazione dei mezzi di trasporto per allinearsi alla decisione del Consiglio Europeo Ambiente, Clima ed Energia sul bando ai motori endotermici dal 2035. Una sfida importante per il settore italiano la cui produzione di vetture elettriche e ibride ha superato il 40% della produzione complessiva nazionale nel 2021, un balzo significativo da quel 0,1% del 2019. Anche la componentistica ha vissuto l’impatto degli incentivi statali (2020 e 2021) e della nuova domanda estera, con 1 azienda su 3 che si è posizionata sul mercato dei veicoli elettrificati. L’Italia è anche a lavoro per sviluppare una filiera dedicata a mezzi di trasporto pubblici elettrici o alimentati ad idrogeno. La chimica </w:t>
      </w:r>
      <w:proofErr w:type="spellStart"/>
      <w:r w:rsidRPr="0088224E">
        <w:t>bio-based</w:t>
      </w:r>
      <w:proofErr w:type="spellEnd"/>
      <w:r w:rsidRPr="0088224E">
        <w:t>, come già raccontato nei precedenti rapporti, grazie a nuovi prodotti, amplia i campi di applicazione industriale – dall’agricoltura alla cosmesi, passando per i carburanti fino all’arredo - di particolare</w:t>
      </w:r>
      <w:r w:rsidR="00106604" w:rsidRPr="0088224E">
        <w:t xml:space="preserve"> interesse</w:t>
      </w:r>
      <w:r w:rsidRPr="0088224E">
        <w:t xml:space="preserve"> il processo di sostituzione della chimica tradizionale a favore di processi </w:t>
      </w:r>
      <w:proofErr w:type="spellStart"/>
      <w:r w:rsidRPr="0088224E">
        <w:t>chrome</w:t>
      </w:r>
      <w:proofErr w:type="spellEnd"/>
      <w:r w:rsidRPr="0088224E">
        <w:t>-free/metal-free nel settore conciario.</w:t>
      </w:r>
    </w:p>
    <w:p w14:paraId="0AA9BC76" w14:textId="77777777" w:rsidR="00613E41" w:rsidRPr="005A170E" w:rsidRDefault="00613E41" w:rsidP="006D32C9">
      <w:pPr>
        <w:spacing w:line="240" w:lineRule="auto"/>
        <w:jc w:val="both"/>
      </w:pPr>
    </w:p>
    <w:p w14:paraId="23B3E4D1" w14:textId="77777777" w:rsidR="00B74170" w:rsidRDefault="00B74170" w:rsidP="005A05F5">
      <w:pPr>
        <w:spacing w:line="240" w:lineRule="auto"/>
        <w:jc w:val="both"/>
      </w:pPr>
    </w:p>
    <w:p w14:paraId="7A246B27" w14:textId="77777777" w:rsidR="00B74170" w:rsidRDefault="00B74170" w:rsidP="005A05F5">
      <w:pPr>
        <w:spacing w:line="240" w:lineRule="auto"/>
        <w:jc w:val="both"/>
      </w:pPr>
    </w:p>
    <w:p w14:paraId="57B7F601" w14:textId="77777777" w:rsidR="00B74170" w:rsidRDefault="00B74170" w:rsidP="005A05F5">
      <w:pPr>
        <w:spacing w:line="240" w:lineRule="auto"/>
        <w:jc w:val="both"/>
      </w:pPr>
    </w:p>
    <w:p w14:paraId="18CD0C31" w14:textId="77777777" w:rsidR="00B74170" w:rsidRDefault="00B74170" w:rsidP="005A05F5">
      <w:pPr>
        <w:spacing w:line="240" w:lineRule="auto"/>
        <w:jc w:val="both"/>
      </w:pPr>
    </w:p>
    <w:p w14:paraId="3C2EE5B2" w14:textId="77777777" w:rsidR="00B74170" w:rsidRDefault="00B74170" w:rsidP="005A05F5">
      <w:pPr>
        <w:spacing w:line="240" w:lineRule="auto"/>
        <w:jc w:val="both"/>
      </w:pPr>
    </w:p>
    <w:p w14:paraId="0FD591F6" w14:textId="77777777" w:rsidR="00B74170" w:rsidRDefault="00B74170" w:rsidP="005A05F5">
      <w:pPr>
        <w:spacing w:line="240" w:lineRule="auto"/>
        <w:jc w:val="both"/>
      </w:pPr>
    </w:p>
    <w:p w14:paraId="24EDAF3E" w14:textId="77777777" w:rsidR="00B74170" w:rsidRDefault="00B74170" w:rsidP="005A05F5">
      <w:pPr>
        <w:spacing w:line="240" w:lineRule="auto"/>
        <w:jc w:val="both"/>
      </w:pPr>
    </w:p>
    <w:p w14:paraId="409DB284" w14:textId="77777777" w:rsidR="00B74170" w:rsidRDefault="00B74170" w:rsidP="005A05F5">
      <w:pPr>
        <w:spacing w:line="240" w:lineRule="auto"/>
        <w:jc w:val="both"/>
      </w:pPr>
    </w:p>
    <w:p w14:paraId="438583A9" w14:textId="77777777" w:rsidR="00B74170" w:rsidRDefault="00B74170" w:rsidP="005A05F5">
      <w:pPr>
        <w:spacing w:line="240" w:lineRule="auto"/>
        <w:jc w:val="both"/>
      </w:pPr>
    </w:p>
    <w:p w14:paraId="753882F3" w14:textId="77777777" w:rsidR="00B74170" w:rsidRDefault="00B74170" w:rsidP="005A05F5">
      <w:pPr>
        <w:spacing w:line="240" w:lineRule="auto"/>
        <w:jc w:val="both"/>
      </w:pPr>
    </w:p>
    <w:p w14:paraId="0EA2F167" w14:textId="77777777" w:rsidR="00B74170" w:rsidRDefault="00B74170" w:rsidP="005A05F5">
      <w:pPr>
        <w:spacing w:line="240" w:lineRule="auto"/>
        <w:jc w:val="both"/>
      </w:pPr>
    </w:p>
    <w:p w14:paraId="3BA5C679" w14:textId="77777777" w:rsidR="00B74170" w:rsidRDefault="00B74170" w:rsidP="005A05F5">
      <w:pPr>
        <w:spacing w:line="240" w:lineRule="auto"/>
        <w:jc w:val="both"/>
      </w:pPr>
    </w:p>
    <w:p w14:paraId="0232DB35" w14:textId="77777777" w:rsidR="00B74170" w:rsidRDefault="00B74170" w:rsidP="005A05F5">
      <w:pPr>
        <w:spacing w:line="240" w:lineRule="auto"/>
        <w:jc w:val="both"/>
      </w:pPr>
    </w:p>
    <w:p w14:paraId="09E8649A" w14:textId="61BBF1A9" w:rsidR="005A05F5" w:rsidRDefault="005A05F5" w:rsidP="005A05F5">
      <w:pPr>
        <w:spacing w:line="240" w:lineRule="auto"/>
        <w:jc w:val="both"/>
      </w:pPr>
      <w:r w:rsidRPr="00A70623">
        <w:lastRenderedPageBreak/>
        <w:t>Graduatoria regionale secondo la numerosità delle imprese che hanno effettuato eco-investimenti nel periodo 2017–2020 e/o investiranno nel 2021 in prodotti e tecnologie green</w:t>
      </w:r>
      <w:r w:rsidRPr="00A70623">
        <w:br/>
        <w:t>(valori assoluti)</w:t>
      </w:r>
    </w:p>
    <w:p w14:paraId="73AC3FED" w14:textId="77777777" w:rsidR="00664A08" w:rsidRPr="009803CC" w:rsidRDefault="00664A08" w:rsidP="00664A08">
      <w:pPr>
        <w:spacing w:after="120" w:line="240" w:lineRule="auto"/>
        <w:rPr>
          <w:rFonts w:eastAsia="Times New Roman" w:cs="Calibri"/>
          <w:color w:val="000000"/>
          <w:sz w:val="18"/>
          <w:szCs w:val="18"/>
          <w:lang w:eastAsia="it-IT"/>
        </w:rPr>
      </w:pPr>
      <w:r w:rsidRPr="009803CC">
        <w:rPr>
          <w:rFonts w:eastAsia="Times New Roman" w:cs="Calibri"/>
          <w:color w:val="000000"/>
          <w:sz w:val="18"/>
          <w:szCs w:val="18"/>
          <w:lang w:eastAsia="it-IT"/>
        </w:rPr>
        <w:t>Fonte: Unioncamere</w:t>
      </w:r>
    </w:p>
    <w:p w14:paraId="7C12AE0E" w14:textId="77777777" w:rsidR="00664A08" w:rsidRPr="00A70623" w:rsidRDefault="00664A08" w:rsidP="005A05F5">
      <w:pPr>
        <w:spacing w:line="240" w:lineRule="auto"/>
        <w:jc w:val="both"/>
      </w:pPr>
    </w:p>
    <w:p w14:paraId="49F22C14" w14:textId="31D7384D" w:rsidR="006D32C9" w:rsidRDefault="006D32C9" w:rsidP="006D32C9">
      <w:pPr>
        <w:spacing w:line="240" w:lineRule="auto"/>
        <w:jc w:val="both"/>
      </w:pPr>
      <w:r w:rsidRPr="005A170E">
        <w:t xml:space="preserve"> </w:t>
      </w:r>
      <w:r w:rsidR="00B27B8C">
        <w:rPr>
          <w:noProof/>
        </w:rPr>
        <w:drawing>
          <wp:inline distT="0" distB="0" distL="0" distR="0" wp14:anchorId="2897AEA0" wp14:editId="5E1302FF">
            <wp:extent cx="5079777" cy="3571336"/>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80689" cy="3571977"/>
                    </a:xfrm>
                    <a:prstGeom prst="rect">
                      <a:avLst/>
                    </a:prstGeom>
                  </pic:spPr>
                </pic:pic>
              </a:graphicData>
            </a:graphic>
          </wp:inline>
        </w:drawing>
      </w:r>
    </w:p>
    <w:p w14:paraId="205309C5" w14:textId="1EF2BFB9" w:rsidR="00595363" w:rsidRPr="005A170E" w:rsidRDefault="00595363" w:rsidP="006D32C9">
      <w:pPr>
        <w:spacing w:line="240" w:lineRule="auto"/>
        <w:jc w:val="both"/>
      </w:pPr>
    </w:p>
    <w:tbl>
      <w:tblPr>
        <w:tblpPr w:leftFromText="141" w:rightFromText="141" w:vertAnchor="text" w:tblpY="1"/>
        <w:tblOverlap w:val="never"/>
        <w:tblW w:w="426" w:type="dxa"/>
        <w:tblCellMar>
          <w:left w:w="70" w:type="dxa"/>
          <w:right w:w="70" w:type="dxa"/>
        </w:tblCellMar>
        <w:tblLook w:val="04A0" w:firstRow="1" w:lastRow="0" w:firstColumn="1" w:lastColumn="0" w:noHBand="0" w:noVBand="1"/>
      </w:tblPr>
      <w:tblGrid>
        <w:gridCol w:w="426"/>
      </w:tblGrid>
      <w:tr w:rsidR="00613E41" w:rsidRPr="005A170E" w14:paraId="63D13A8B" w14:textId="77777777" w:rsidTr="00701014">
        <w:trPr>
          <w:trHeight w:val="170"/>
        </w:trPr>
        <w:tc>
          <w:tcPr>
            <w:tcW w:w="426" w:type="dxa"/>
            <w:tcBorders>
              <w:top w:val="nil"/>
              <w:left w:val="nil"/>
              <w:bottom w:val="nil"/>
              <w:right w:val="nil"/>
            </w:tcBorders>
            <w:shd w:val="clear" w:color="auto" w:fill="auto"/>
            <w:noWrap/>
            <w:vAlign w:val="bottom"/>
            <w:hideMark/>
          </w:tcPr>
          <w:p w14:paraId="39F7DDB4" w14:textId="77777777" w:rsidR="00701014" w:rsidRPr="005A170E" w:rsidRDefault="00701014" w:rsidP="00701014">
            <w:pPr>
              <w:rPr>
                <w:rFonts w:eastAsia="Times New Roman" w:cs="Calibri"/>
                <w:sz w:val="16"/>
                <w:szCs w:val="16"/>
                <w:lang w:eastAsia="it-IT"/>
              </w:rPr>
            </w:pPr>
          </w:p>
        </w:tc>
      </w:tr>
    </w:tbl>
    <w:p w14:paraId="6A3084B0" w14:textId="2987A9AF" w:rsidR="006D32C9" w:rsidRPr="005A170E" w:rsidRDefault="006D32C9" w:rsidP="006D32C9">
      <w:pPr>
        <w:spacing w:after="120" w:line="264" w:lineRule="auto"/>
        <w:jc w:val="center"/>
        <w:rPr>
          <w:sz w:val="8"/>
          <w:szCs w:val="8"/>
        </w:rPr>
      </w:pPr>
      <w:r w:rsidRPr="005A170E">
        <w:br w:type="textWrapping" w:clear="all"/>
      </w:r>
    </w:p>
    <w:p w14:paraId="54C95EDB" w14:textId="77777777" w:rsidR="00AE0681" w:rsidRDefault="00AE0681" w:rsidP="00FA1F13">
      <w:pPr>
        <w:spacing w:after="0" w:line="240" w:lineRule="auto"/>
        <w:rPr>
          <w:rFonts w:eastAsia="Times New Roman" w:cs="Calibri"/>
          <w:lang w:eastAsia="it-IT"/>
        </w:rPr>
      </w:pPr>
    </w:p>
    <w:p w14:paraId="208A883F" w14:textId="77777777" w:rsidR="00AE0681" w:rsidRDefault="00AE0681" w:rsidP="00FA1F13">
      <w:pPr>
        <w:spacing w:after="0" w:line="240" w:lineRule="auto"/>
        <w:rPr>
          <w:rFonts w:eastAsia="Times New Roman" w:cs="Calibri"/>
          <w:lang w:eastAsia="it-IT"/>
        </w:rPr>
      </w:pPr>
    </w:p>
    <w:p w14:paraId="0911C1C9" w14:textId="77777777" w:rsidR="00AE0681" w:rsidRDefault="00AE0681" w:rsidP="00FA1F13">
      <w:pPr>
        <w:spacing w:after="0" w:line="240" w:lineRule="auto"/>
        <w:rPr>
          <w:rFonts w:eastAsia="Times New Roman" w:cs="Calibri"/>
          <w:lang w:eastAsia="it-IT"/>
        </w:rPr>
      </w:pPr>
    </w:p>
    <w:p w14:paraId="0E47ACD0" w14:textId="77777777" w:rsidR="00AE0681" w:rsidRDefault="00AE0681" w:rsidP="00FA1F13">
      <w:pPr>
        <w:spacing w:after="0" w:line="240" w:lineRule="auto"/>
        <w:rPr>
          <w:rFonts w:eastAsia="Times New Roman" w:cs="Calibri"/>
          <w:lang w:eastAsia="it-IT"/>
        </w:rPr>
      </w:pPr>
    </w:p>
    <w:p w14:paraId="71492114" w14:textId="77777777" w:rsidR="00AE0681" w:rsidRDefault="00AE0681" w:rsidP="00FA1F13">
      <w:pPr>
        <w:spacing w:after="0" w:line="240" w:lineRule="auto"/>
        <w:rPr>
          <w:rFonts w:eastAsia="Times New Roman" w:cs="Calibri"/>
          <w:lang w:eastAsia="it-IT"/>
        </w:rPr>
      </w:pPr>
    </w:p>
    <w:p w14:paraId="5C73F1A7" w14:textId="77777777" w:rsidR="00AE0681" w:rsidRDefault="00AE0681" w:rsidP="00FA1F13">
      <w:pPr>
        <w:spacing w:after="0" w:line="240" w:lineRule="auto"/>
        <w:rPr>
          <w:rFonts w:eastAsia="Times New Roman" w:cs="Calibri"/>
          <w:lang w:eastAsia="it-IT"/>
        </w:rPr>
      </w:pPr>
    </w:p>
    <w:p w14:paraId="18316DB8" w14:textId="77777777" w:rsidR="00AE0681" w:rsidRDefault="00AE0681" w:rsidP="00FA1F13">
      <w:pPr>
        <w:spacing w:after="0" w:line="240" w:lineRule="auto"/>
        <w:rPr>
          <w:rFonts w:eastAsia="Times New Roman" w:cs="Calibri"/>
          <w:lang w:eastAsia="it-IT"/>
        </w:rPr>
      </w:pPr>
    </w:p>
    <w:p w14:paraId="41D3850F" w14:textId="77777777" w:rsidR="00AE0681" w:rsidRDefault="00AE0681" w:rsidP="00FA1F13">
      <w:pPr>
        <w:spacing w:after="0" w:line="240" w:lineRule="auto"/>
        <w:rPr>
          <w:rFonts w:eastAsia="Times New Roman" w:cs="Calibri"/>
          <w:lang w:eastAsia="it-IT"/>
        </w:rPr>
      </w:pPr>
    </w:p>
    <w:p w14:paraId="3D7DADDC" w14:textId="77777777" w:rsidR="00AE0681" w:rsidRDefault="00AE0681" w:rsidP="00FA1F13">
      <w:pPr>
        <w:spacing w:after="0" w:line="240" w:lineRule="auto"/>
        <w:rPr>
          <w:rFonts w:eastAsia="Times New Roman" w:cs="Calibri"/>
          <w:lang w:eastAsia="it-IT"/>
        </w:rPr>
      </w:pPr>
    </w:p>
    <w:p w14:paraId="6D0997B0" w14:textId="77777777" w:rsidR="00AE0681" w:rsidRDefault="00AE0681" w:rsidP="00FA1F13">
      <w:pPr>
        <w:spacing w:after="0" w:line="240" w:lineRule="auto"/>
        <w:rPr>
          <w:rFonts w:eastAsia="Times New Roman" w:cs="Calibri"/>
          <w:lang w:eastAsia="it-IT"/>
        </w:rPr>
      </w:pPr>
    </w:p>
    <w:p w14:paraId="28DF5A35" w14:textId="77777777" w:rsidR="00AE0681" w:rsidRDefault="00AE0681" w:rsidP="00FA1F13">
      <w:pPr>
        <w:spacing w:after="0" w:line="240" w:lineRule="auto"/>
        <w:rPr>
          <w:rFonts w:eastAsia="Times New Roman" w:cs="Calibri"/>
          <w:lang w:eastAsia="it-IT"/>
        </w:rPr>
      </w:pPr>
    </w:p>
    <w:p w14:paraId="260F2741" w14:textId="77777777" w:rsidR="00AE0681" w:rsidRDefault="00AE0681" w:rsidP="00FA1F13">
      <w:pPr>
        <w:spacing w:after="0" w:line="240" w:lineRule="auto"/>
        <w:rPr>
          <w:rFonts w:eastAsia="Times New Roman" w:cs="Calibri"/>
          <w:lang w:eastAsia="it-IT"/>
        </w:rPr>
      </w:pPr>
    </w:p>
    <w:p w14:paraId="720CCBC2" w14:textId="77777777" w:rsidR="00AE0681" w:rsidRDefault="00AE0681" w:rsidP="00FA1F13">
      <w:pPr>
        <w:spacing w:after="0" w:line="240" w:lineRule="auto"/>
        <w:rPr>
          <w:rFonts w:eastAsia="Times New Roman" w:cs="Calibri"/>
          <w:lang w:eastAsia="it-IT"/>
        </w:rPr>
      </w:pPr>
    </w:p>
    <w:p w14:paraId="27D296E4" w14:textId="77777777" w:rsidR="00AE0681" w:rsidRDefault="00AE0681" w:rsidP="00FA1F13">
      <w:pPr>
        <w:spacing w:after="0" w:line="240" w:lineRule="auto"/>
        <w:rPr>
          <w:rFonts w:eastAsia="Times New Roman" w:cs="Calibri"/>
          <w:lang w:eastAsia="it-IT"/>
        </w:rPr>
      </w:pPr>
    </w:p>
    <w:p w14:paraId="1CBAADDD" w14:textId="77777777" w:rsidR="00AE0681" w:rsidRDefault="00AE0681" w:rsidP="00FA1F13">
      <w:pPr>
        <w:spacing w:after="0" w:line="240" w:lineRule="auto"/>
        <w:rPr>
          <w:rFonts w:eastAsia="Times New Roman" w:cs="Calibri"/>
          <w:lang w:eastAsia="it-IT"/>
        </w:rPr>
      </w:pPr>
    </w:p>
    <w:p w14:paraId="3F305DB2" w14:textId="77777777" w:rsidR="00AE0681" w:rsidRDefault="00AE0681" w:rsidP="00FA1F13">
      <w:pPr>
        <w:spacing w:after="0" w:line="240" w:lineRule="auto"/>
        <w:rPr>
          <w:rFonts w:eastAsia="Times New Roman" w:cs="Calibri"/>
          <w:lang w:eastAsia="it-IT"/>
        </w:rPr>
      </w:pPr>
    </w:p>
    <w:p w14:paraId="5AAC3ADD" w14:textId="40ACC5E3" w:rsidR="00FA1F13" w:rsidRPr="009803CC" w:rsidRDefault="00FA1F13" w:rsidP="00FA1F13">
      <w:pPr>
        <w:spacing w:after="0" w:line="240" w:lineRule="auto"/>
        <w:rPr>
          <w:rFonts w:cs="Calibri"/>
          <w:lang w:eastAsia="it-IT"/>
        </w:rPr>
      </w:pPr>
      <w:r w:rsidRPr="009803CC">
        <w:rPr>
          <w:rFonts w:eastAsia="Times New Roman" w:cs="Calibri"/>
          <w:lang w:eastAsia="it-IT"/>
        </w:rPr>
        <w:t>Graduatorie regionali secondo la numerosità assoluta di contratti relativi a green jobs la cui attivazione è prevista dalle imprese nel 2021 e relativa incidenza sul totale delle</w:t>
      </w:r>
      <w:r w:rsidRPr="009803CC">
        <w:rPr>
          <w:rFonts w:cs="Calibri"/>
          <w:lang w:eastAsia="it-IT"/>
        </w:rPr>
        <w:t xml:space="preserve"> assunzioni dell'Italia e della regione </w:t>
      </w:r>
    </w:p>
    <w:p w14:paraId="1C5B215B" w14:textId="4BA63B70" w:rsidR="00FA1F13" w:rsidRDefault="00FA1F13" w:rsidP="00FA1F13">
      <w:pPr>
        <w:spacing w:after="120" w:line="240" w:lineRule="auto"/>
        <w:rPr>
          <w:rFonts w:cs="Calibri"/>
          <w:lang w:eastAsia="it-IT"/>
        </w:rPr>
      </w:pPr>
      <w:r w:rsidRPr="009803CC">
        <w:rPr>
          <w:rFonts w:cs="Calibri"/>
          <w:lang w:eastAsia="it-IT"/>
        </w:rPr>
        <w:t>(valori assoluti e percentuali)</w:t>
      </w:r>
    </w:p>
    <w:p w14:paraId="7E49621E" w14:textId="77777777" w:rsidR="00664A08" w:rsidRPr="009803CC" w:rsidRDefault="00664A08" w:rsidP="00664A08">
      <w:pPr>
        <w:spacing w:after="120" w:line="240" w:lineRule="auto"/>
        <w:rPr>
          <w:rFonts w:eastAsia="Times New Roman" w:cs="Calibri"/>
          <w:color w:val="000000"/>
          <w:sz w:val="18"/>
          <w:szCs w:val="18"/>
          <w:lang w:eastAsia="it-IT"/>
        </w:rPr>
      </w:pPr>
      <w:r w:rsidRPr="009803CC">
        <w:rPr>
          <w:rFonts w:eastAsia="Times New Roman" w:cs="Calibri"/>
          <w:color w:val="000000"/>
          <w:sz w:val="18"/>
          <w:szCs w:val="18"/>
          <w:lang w:eastAsia="it-IT"/>
        </w:rPr>
        <w:t>Fonte: Unioncamere</w:t>
      </w:r>
    </w:p>
    <w:p w14:paraId="43430CA8" w14:textId="77777777" w:rsidR="00664A08" w:rsidRPr="009803CC" w:rsidRDefault="00664A08" w:rsidP="00FA1F13">
      <w:pPr>
        <w:spacing w:after="120" w:line="240" w:lineRule="auto"/>
        <w:rPr>
          <w:rFonts w:cs="Calibri"/>
          <w:lang w:eastAsia="it-IT"/>
        </w:rPr>
      </w:pPr>
    </w:p>
    <w:p w14:paraId="14E9714C" w14:textId="77777777" w:rsidR="00FA1F13" w:rsidRPr="005A170E" w:rsidRDefault="00FA1F13" w:rsidP="006D32C9">
      <w:pPr>
        <w:spacing w:line="240" w:lineRule="auto"/>
        <w:jc w:val="both"/>
        <w:rPr>
          <w:rFonts w:asciiTheme="minorHAnsi" w:hAnsiTheme="minorHAnsi" w:cstheme="minorHAnsi"/>
        </w:rPr>
      </w:pPr>
    </w:p>
    <w:p w14:paraId="67474866" w14:textId="3C4394F7" w:rsidR="006D32C9" w:rsidRDefault="00D95B6F" w:rsidP="006D32C9">
      <w:pPr>
        <w:spacing w:line="240" w:lineRule="auto"/>
        <w:jc w:val="both"/>
        <w:rPr>
          <w:rFonts w:asciiTheme="minorHAnsi" w:hAnsiTheme="minorHAnsi" w:cstheme="minorHAnsi"/>
          <w:b/>
          <w:bCs/>
        </w:rPr>
      </w:pPr>
      <w:r>
        <w:rPr>
          <w:noProof/>
        </w:rPr>
        <w:drawing>
          <wp:inline distT="0" distB="0" distL="0" distR="0" wp14:anchorId="712412FC" wp14:editId="07B6A3AC">
            <wp:extent cx="2337759" cy="4252595"/>
            <wp:effectExtent l="0" t="0" r="571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5598" b="7749"/>
                    <a:stretch/>
                  </pic:blipFill>
                  <pic:spPr bwMode="auto">
                    <a:xfrm>
                      <a:off x="0" y="0"/>
                      <a:ext cx="2337884" cy="4252823"/>
                    </a:xfrm>
                    <a:prstGeom prst="rect">
                      <a:avLst/>
                    </a:prstGeom>
                    <a:ln>
                      <a:noFill/>
                    </a:ln>
                    <a:extLst>
                      <a:ext uri="{53640926-AAD7-44D8-BBD7-CCE9431645EC}">
                        <a14:shadowObscured xmlns:a14="http://schemas.microsoft.com/office/drawing/2010/main"/>
                      </a:ext>
                    </a:extLst>
                  </pic:spPr>
                </pic:pic>
              </a:graphicData>
            </a:graphic>
          </wp:inline>
        </w:drawing>
      </w:r>
      <w:r w:rsidR="00FA1F13">
        <w:rPr>
          <w:rFonts w:asciiTheme="minorHAnsi" w:hAnsiTheme="minorHAnsi" w:cstheme="minorHAnsi"/>
          <w:b/>
          <w:bCs/>
        </w:rPr>
        <w:t xml:space="preserve">    </w:t>
      </w:r>
    </w:p>
    <w:p w14:paraId="0DAD96C0" w14:textId="77777777" w:rsidR="00FA1F13" w:rsidRPr="00613E41" w:rsidRDefault="00FA1F13" w:rsidP="006D32C9">
      <w:pPr>
        <w:spacing w:line="240" w:lineRule="auto"/>
        <w:jc w:val="both"/>
        <w:rPr>
          <w:rFonts w:asciiTheme="minorHAnsi" w:hAnsiTheme="minorHAnsi" w:cstheme="minorHAnsi"/>
          <w:b/>
          <w:bCs/>
        </w:rPr>
      </w:pPr>
    </w:p>
    <w:p w14:paraId="34B16532" w14:textId="77777777" w:rsidR="006D32C9" w:rsidRPr="00613E41" w:rsidRDefault="006D32C9" w:rsidP="006D32C9">
      <w:pPr>
        <w:spacing w:line="240" w:lineRule="auto"/>
        <w:jc w:val="both"/>
        <w:rPr>
          <w:rFonts w:asciiTheme="minorHAnsi" w:hAnsiTheme="minorHAnsi" w:cstheme="minorHAnsi"/>
          <w:b/>
          <w:bCs/>
        </w:rPr>
      </w:pPr>
    </w:p>
    <w:p w14:paraId="1483F779" w14:textId="77777777" w:rsidR="006D32C9" w:rsidRDefault="006D32C9" w:rsidP="006D32C9">
      <w:pPr>
        <w:spacing w:line="240" w:lineRule="auto"/>
        <w:jc w:val="both"/>
        <w:rPr>
          <w:rFonts w:asciiTheme="minorHAnsi" w:hAnsiTheme="minorHAnsi" w:cstheme="minorHAnsi"/>
          <w:b/>
          <w:bCs/>
        </w:rPr>
      </w:pPr>
    </w:p>
    <w:p w14:paraId="25B99B4D" w14:textId="77777777" w:rsidR="006D32C9" w:rsidRDefault="006D32C9" w:rsidP="006D32C9">
      <w:pPr>
        <w:spacing w:line="240" w:lineRule="auto"/>
        <w:jc w:val="both"/>
        <w:rPr>
          <w:rFonts w:asciiTheme="minorHAnsi" w:hAnsiTheme="minorHAnsi" w:cstheme="minorHAnsi"/>
          <w:b/>
          <w:bCs/>
        </w:rPr>
      </w:pPr>
    </w:p>
    <w:p w14:paraId="0B90C2A2" w14:textId="77777777" w:rsidR="005A170E" w:rsidRDefault="005A170E" w:rsidP="006D32C9">
      <w:pPr>
        <w:shd w:val="clear" w:color="auto" w:fill="FFFFFF"/>
        <w:spacing w:after="0" w:line="240" w:lineRule="auto"/>
        <w:jc w:val="both"/>
        <w:rPr>
          <w:rFonts w:asciiTheme="minorHAnsi" w:hAnsiTheme="minorHAnsi" w:cstheme="minorHAnsi"/>
          <w:b/>
          <w:bCs/>
        </w:rPr>
      </w:pPr>
    </w:p>
    <w:p w14:paraId="202B2253"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28A9818E"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65ACAD54"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200AF9CA"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66AA2475"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06AF064F" w14:textId="74541BC2" w:rsidR="00664A08" w:rsidRPr="009803CC" w:rsidRDefault="00664A08" w:rsidP="00664A08">
      <w:pPr>
        <w:spacing w:after="0" w:line="240" w:lineRule="auto"/>
        <w:rPr>
          <w:rFonts w:eastAsia="Times New Roman" w:cs="Calibri"/>
          <w:lang w:eastAsia="it-IT"/>
        </w:rPr>
      </w:pPr>
      <w:r w:rsidRPr="009803CC">
        <w:rPr>
          <w:rFonts w:eastAsia="Times New Roman" w:cs="Calibri"/>
          <w:lang w:eastAsia="it-IT"/>
        </w:rPr>
        <w:lastRenderedPageBreak/>
        <w:t xml:space="preserve">Prime venti province secondo la numerosità assoluta di contratti relativi a green jobs la cui attivazione è prevista dalle imprese nel 2021 e relativa incidenza sul totale delle assunzioni dell'Italia e della provincia </w:t>
      </w:r>
    </w:p>
    <w:p w14:paraId="0391B69B" w14:textId="77777777" w:rsidR="00664A08" w:rsidRPr="009803CC" w:rsidRDefault="00664A08" w:rsidP="00664A08">
      <w:pPr>
        <w:spacing w:after="120" w:line="240" w:lineRule="auto"/>
        <w:rPr>
          <w:rFonts w:eastAsia="Times New Roman" w:cs="Calibri"/>
          <w:lang w:eastAsia="it-IT"/>
        </w:rPr>
      </w:pPr>
      <w:r w:rsidRPr="009803CC">
        <w:rPr>
          <w:rFonts w:eastAsia="Times New Roman" w:cs="Calibri"/>
          <w:lang w:eastAsia="it-IT"/>
        </w:rPr>
        <w:t>(valori assoluti e percentuali)</w:t>
      </w:r>
    </w:p>
    <w:p w14:paraId="08170ABD" w14:textId="77777777" w:rsidR="00664A08" w:rsidRPr="009803CC" w:rsidRDefault="00664A08" w:rsidP="00664A08">
      <w:pPr>
        <w:spacing w:after="120" w:line="240" w:lineRule="auto"/>
        <w:rPr>
          <w:rFonts w:eastAsia="Times New Roman" w:cs="Calibri"/>
          <w:color w:val="000000"/>
          <w:sz w:val="18"/>
          <w:szCs w:val="18"/>
          <w:lang w:eastAsia="it-IT"/>
        </w:rPr>
      </w:pPr>
      <w:r w:rsidRPr="009803CC">
        <w:rPr>
          <w:rFonts w:eastAsia="Times New Roman" w:cs="Calibri"/>
          <w:color w:val="000000"/>
          <w:sz w:val="18"/>
          <w:szCs w:val="18"/>
          <w:lang w:eastAsia="it-IT"/>
        </w:rPr>
        <w:t>Fonte: Unioncamere</w:t>
      </w:r>
    </w:p>
    <w:p w14:paraId="115D4025"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61E31EE0"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4C857789" w14:textId="04B1AC18" w:rsidR="00FA1F13" w:rsidRDefault="00664A08" w:rsidP="006D32C9">
      <w:pPr>
        <w:shd w:val="clear" w:color="auto" w:fill="FFFFFF"/>
        <w:spacing w:after="0" w:line="240" w:lineRule="auto"/>
        <w:jc w:val="both"/>
        <w:rPr>
          <w:rFonts w:asciiTheme="minorHAnsi" w:hAnsiTheme="minorHAnsi" w:cstheme="minorHAnsi"/>
          <w:b/>
          <w:bCs/>
          <w:i/>
          <w:iCs/>
          <w:lang w:eastAsia="it-IT"/>
        </w:rPr>
      </w:pPr>
      <w:r>
        <w:rPr>
          <w:noProof/>
        </w:rPr>
        <w:drawing>
          <wp:inline distT="0" distB="0" distL="0" distR="0" wp14:anchorId="66AD13E5" wp14:editId="18E138D9">
            <wp:extent cx="1905000" cy="43053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5000" cy="4305300"/>
                    </a:xfrm>
                    <a:prstGeom prst="rect">
                      <a:avLst/>
                    </a:prstGeom>
                  </pic:spPr>
                </pic:pic>
              </a:graphicData>
            </a:graphic>
          </wp:inline>
        </w:drawing>
      </w:r>
      <w:r w:rsidR="00881F47">
        <w:rPr>
          <w:rFonts w:asciiTheme="minorHAnsi" w:hAnsiTheme="minorHAnsi" w:cstheme="minorHAnsi"/>
          <w:b/>
          <w:bCs/>
          <w:i/>
          <w:iCs/>
          <w:lang w:eastAsia="it-IT"/>
        </w:rPr>
        <w:t xml:space="preserve">                </w:t>
      </w:r>
    </w:p>
    <w:p w14:paraId="5238B3DE"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4CA68B12"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180DACDA" w14:textId="74B155A4" w:rsidR="00FA1F13" w:rsidRDefault="008E7494" w:rsidP="006D32C9">
      <w:pPr>
        <w:shd w:val="clear" w:color="auto" w:fill="FFFFFF"/>
        <w:spacing w:after="0" w:line="240" w:lineRule="auto"/>
        <w:jc w:val="both"/>
        <w:rPr>
          <w:rFonts w:asciiTheme="minorHAnsi" w:hAnsiTheme="minorHAnsi" w:cstheme="minorHAnsi"/>
          <w:b/>
          <w:bCs/>
          <w:i/>
          <w:iCs/>
          <w:lang w:eastAsia="it-IT"/>
        </w:rPr>
      </w:pPr>
      <w:r>
        <w:rPr>
          <w:noProof/>
        </w:rPr>
        <w:lastRenderedPageBreak/>
        <w:drawing>
          <wp:inline distT="0" distB="0" distL="0" distR="0" wp14:anchorId="522F7BD3" wp14:editId="02AE2240">
            <wp:extent cx="4895850" cy="466979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0"/>
                    <a:stretch>
                      <a:fillRect/>
                    </a:stretch>
                  </pic:blipFill>
                  <pic:spPr>
                    <a:xfrm>
                      <a:off x="0" y="0"/>
                      <a:ext cx="4895850" cy="4669790"/>
                    </a:xfrm>
                    <a:prstGeom prst="rect">
                      <a:avLst/>
                    </a:prstGeom>
                  </pic:spPr>
                </pic:pic>
              </a:graphicData>
            </a:graphic>
          </wp:inline>
        </w:drawing>
      </w:r>
    </w:p>
    <w:p w14:paraId="0619E0FA"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75521F5A"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423D44BF" w14:textId="77777777" w:rsidR="00FA1F13" w:rsidRDefault="00FA1F13" w:rsidP="006D32C9">
      <w:pPr>
        <w:shd w:val="clear" w:color="auto" w:fill="FFFFFF"/>
        <w:spacing w:after="0" w:line="240" w:lineRule="auto"/>
        <w:jc w:val="both"/>
        <w:rPr>
          <w:rFonts w:asciiTheme="minorHAnsi" w:hAnsiTheme="minorHAnsi" w:cstheme="minorHAnsi"/>
          <w:b/>
          <w:bCs/>
          <w:i/>
          <w:iCs/>
          <w:lang w:eastAsia="it-IT"/>
        </w:rPr>
      </w:pPr>
    </w:p>
    <w:p w14:paraId="6D48B285" w14:textId="77777777" w:rsidR="00DC09E1" w:rsidRDefault="00DC09E1" w:rsidP="006D32C9">
      <w:pPr>
        <w:shd w:val="clear" w:color="auto" w:fill="FFFFFF"/>
        <w:spacing w:after="0" w:line="240" w:lineRule="auto"/>
        <w:jc w:val="both"/>
        <w:rPr>
          <w:rFonts w:asciiTheme="minorHAnsi" w:hAnsiTheme="minorHAnsi" w:cstheme="minorHAnsi"/>
          <w:b/>
          <w:bCs/>
          <w:i/>
          <w:iCs/>
          <w:lang w:eastAsia="it-IT"/>
        </w:rPr>
      </w:pPr>
    </w:p>
    <w:p w14:paraId="2033E023" w14:textId="77777777" w:rsidR="00DC09E1" w:rsidRDefault="00DC09E1" w:rsidP="006D32C9">
      <w:pPr>
        <w:shd w:val="clear" w:color="auto" w:fill="FFFFFF"/>
        <w:spacing w:after="0" w:line="240" w:lineRule="auto"/>
        <w:jc w:val="both"/>
        <w:rPr>
          <w:rFonts w:asciiTheme="minorHAnsi" w:hAnsiTheme="minorHAnsi" w:cstheme="minorHAnsi"/>
          <w:b/>
          <w:bCs/>
          <w:i/>
          <w:iCs/>
          <w:lang w:eastAsia="it-IT"/>
        </w:rPr>
      </w:pPr>
    </w:p>
    <w:p w14:paraId="0B9752D0" w14:textId="77777777" w:rsidR="00AE0681" w:rsidRDefault="00AE0681" w:rsidP="006D32C9">
      <w:pPr>
        <w:shd w:val="clear" w:color="auto" w:fill="FFFFFF"/>
        <w:spacing w:after="0" w:line="240" w:lineRule="auto"/>
        <w:jc w:val="both"/>
        <w:rPr>
          <w:rFonts w:asciiTheme="minorHAnsi" w:hAnsiTheme="minorHAnsi" w:cstheme="minorHAnsi"/>
          <w:b/>
          <w:bCs/>
          <w:i/>
          <w:iCs/>
          <w:lang w:eastAsia="it-IT"/>
        </w:rPr>
      </w:pPr>
    </w:p>
    <w:p w14:paraId="7EC1DBA9" w14:textId="77777777" w:rsidR="00AE0681" w:rsidRDefault="00AE0681" w:rsidP="006D32C9">
      <w:pPr>
        <w:shd w:val="clear" w:color="auto" w:fill="FFFFFF"/>
        <w:spacing w:after="0" w:line="240" w:lineRule="auto"/>
        <w:jc w:val="both"/>
        <w:rPr>
          <w:rFonts w:asciiTheme="minorHAnsi" w:hAnsiTheme="minorHAnsi" w:cstheme="minorHAnsi"/>
          <w:b/>
          <w:bCs/>
          <w:i/>
          <w:iCs/>
          <w:lang w:eastAsia="it-IT"/>
        </w:rPr>
      </w:pPr>
    </w:p>
    <w:p w14:paraId="3176E2A4" w14:textId="77777777" w:rsidR="00AE0681" w:rsidRDefault="00AE0681" w:rsidP="006D32C9">
      <w:pPr>
        <w:shd w:val="clear" w:color="auto" w:fill="FFFFFF"/>
        <w:spacing w:after="0" w:line="240" w:lineRule="auto"/>
        <w:jc w:val="both"/>
        <w:rPr>
          <w:rFonts w:asciiTheme="minorHAnsi" w:hAnsiTheme="minorHAnsi" w:cstheme="minorHAnsi"/>
          <w:b/>
          <w:bCs/>
          <w:i/>
          <w:iCs/>
          <w:lang w:eastAsia="it-IT"/>
        </w:rPr>
      </w:pPr>
    </w:p>
    <w:p w14:paraId="3E8AEBC0" w14:textId="77777777" w:rsidR="00AE0681" w:rsidRDefault="00AE0681" w:rsidP="006D32C9">
      <w:pPr>
        <w:shd w:val="clear" w:color="auto" w:fill="FFFFFF"/>
        <w:spacing w:after="0" w:line="240" w:lineRule="auto"/>
        <w:jc w:val="both"/>
        <w:rPr>
          <w:rFonts w:asciiTheme="minorHAnsi" w:hAnsiTheme="minorHAnsi" w:cstheme="minorHAnsi"/>
          <w:b/>
          <w:bCs/>
          <w:i/>
          <w:iCs/>
          <w:lang w:eastAsia="it-IT"/>
        </w:rPr>
      </w:pPr>
    </w:p>
    <w:p w14:paraId="27426EF6" w14:textId="77777777" w:rsidR="00AE0681" w:rsidRDefault="00AE0681" w:rsidP="006D32C9">
      <w:pPr>
        <w:shd w:val="clear" w:color="auto" w:fill="FFFFFF"/>
        <w:spacing w:after="0" w:line="240" w:lineRule="auto"/>
        <w:jc w:val="both"/>
        <w:rPr>
          <w:rFonts w:asciiTheme="minorHAnsi" w:hAnsiTheme="minorHAnsi" w:cstheme="minorHAnsi"/>
          <w:b/>
          <w:bCs/>
          <w:i/>
          <w:iCs/>
          <w:lang w:eastAsia="it-IT"/>
        </w:rPr>
      </w:pPr>
    </w:p>
    <w:p w14:paraId="205B8C12" w14:textId="72830422" w:rsidR="006D32C9" w:rsidRPr="00B27C3C" w:rsidRDefault="006D32C9" w:rsidP="006D32C9">
      <w:pPr>
        <w:shd w:val="clear" w:color="auto" w:fill="FFFFFF"/>
        <w:spacing w:after="0" w:line="240" w:lineRule="auto"/>
        <w:jc w:val="both"/>
        <w:rPr>
          <w:rFonts w:asciiTheme="minorHAnsi" w:hAnsiTheme="minorHAnsi" w:cstheme="minorHAnsi"/>
          <w:b/>
          <w:bCs/>
          <w:i/>
          <w:iCs/>
          <w:lang w:eastAsia="it-IT"/>
        </w:rPr>
      </w:pPr>
      <w:r w:rsidRPr="00B27C3C">
        <w:rPr>
          <w:rFonts w:asciiTheme="minorHAnsi" w:hAnsiTheme="minorHAnsi" w:cstheme="minorHAnsi"/>
          <w:b/>
          <w:bCs/>
          <w:i/>
          <w:iCs/>
          <w:lang w:eastAsia="it-IT"/>
        </w:rPr>
        <w:t>Il rapporto completo su www.symbola.net</w:t>
      </w:r>
    </w:p>
    <w:p w14:paraId="6B17303B" w14:textId="3DB5C194" w:rsidR="007B49E2" w:rsidRPr="006D32C9" w:rsidRDefault="007B49E2" w:rsidP="006D32C9"/>
    <w:sectPr w:rsidR="007B49E2" w:rsidRPr="006D32C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8921" w14:textId="77777777" w:rsidR="00E06B3C" w:rsidRDefault="00E06B3C" w:rsidP="0052256D">
      <w:pPr>
        <w:spacing w:after="0" w:line="240" w:lineRule="auto"/>
      </w:pPr>
      <w:r>
        <w:separator/>
      </w:r>
    </w:p>
  </w:endnote>
  <w:endnote w:type="continuationSeparator" w:id="0">
    <w:p w14:paraId="7C4BC162" w14:textId="77777777" w:rsidR="00E06B3C" w:rsidRDefault="00E06B3C" w:rsidP="0052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tivGroteskCorp-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735D" w14:textId="77777777" w:rsidR="00F506D6" w:rsidRDefault="00F506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445966"/>
      <w:docPartObj>
        <w:docPartGallery w:val="Page Numbers (Bottom of Page)"/>
        <w:docPartUnique/>
      </w:docPartObj>
    </w:sdtPr>
    <w:sdtContent>
      <w:p w14:paraId="58D7819E" w14:textId="1115AD42" w:rsidR="00027EA0" w:rsidRDefault="005844F7" w:rsidP="00027EA0">
        <w:pPr>
          <w:pStyle w:val="Pidipagina"/>
          <w:jc w:val="right"/>
        </w:pPr>
        <w:r>
          <w:fldChar w:fldCharType="begin"/>
        </w:r>
        <w:r>
          <w:instrText>PAGE   \* MERGEFORMAT</w:instrText>
        </w:r>
        <w:r>
          <w:fldChar w:fldCharType="separate"/>
        </w:r>
        <w:r>
          <w:t>2</w:t>
        </w:r>
        <w:r>
          <w:fldChar w:fldCharType="end"/>
        </w:r>
      </w:p>
    </w:sdtContent>
  </w:sdt>
  <w:p w14:paraId="733D9DDE" w14:textId="4F74A0DE" w:rsidR="00027EA0" w:rsidRDefault="00F506D6" w:rsidP="00FE21DB">
    <w:pPr>
      <w:pStyle w:val="Pidipagina"/>
      <w:tabs>
        <w:tab w:val="clear" w:pos="4819"/>
        <w:tab w:val="clear" w:pos="9638"/>
        <w:tab w:val="left" w:pos="1005"/>
      </w:tabs>
      <w:rPr>
        <w:noProof/>
      </w:rPr>
    </w:pPr>
    <w:r>
      <w:rPr>
        <w:noProof/>
      </w:rPr>
      <mc:AlternateContent>
        <mc:Choice Requires="wps">
          <w:drawing>
            <wp:anchor distT="0" distB="0" distL="114300" distR="114300" simplePos="0" relativeHeight="251667456" behindDoc="0" locked="0" layoutInCell="1" allowOverlap="1" wp14:anchorId="5B4603EA" wp14:editId="58C29568">
              <wp:simplePos x="0" y="0"/>
              <wp:positionH relativeFrom="margin">
                <wp:posOffset>-40640</wp:posOffset>
              </wp:positionH>
              <wp:positionV relativeFrom="paragraph">
                <wp:posOffset>122555</wp:posOffset>
              </wp:positionV>
              <wp:extent cx="6029325"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6029325"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FB896E" id="Connettore diritto 5"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pt,9.65pt" to="471.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" strokecolor="#aeaaaa [2414]" strokeweight=".5pt">
              <v:stroke joinstyle="miter"/>
              <w10:wrap anchorx="margin"/>
            </v:line>
          </w:pict>
        </mc:Fallback>
      </mc:AlternateContent>
    </w:r>
    <w:r w:rsidRPr="00F506D6">
      <w:rPr>
        <w:noProof/>
      </w:rPr>
      <w:drawing>
        <wp:anchor distT="0" distB="0" distL="114300" distR="114300" simplePos="0" relativeHeight="251668480" behindDoc="1" locked="0" layoutInCell="1" allowOverlap="1" wp14:anchorId="70E65887" wp14:editId="6D8A7A68">
          <wp:simplePos x="0" y="0"/>
          <wp:positionH relativeFrom="margin">
            <wp:posOffset>-179705</wp:posOffset>
          </wp:positionH>
          <wp:positionV relativeFrom="paragraph">
            <wp:posOffset>211455</wp:posOffset>
          </wp:positionV>
          <wp:extent cx="6384925" cy="91757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4925" cy="917575"/>
                  </a:xfrm>
                  <a:prstGeom prst="rect">
                    <a:avLst/>
                  </a:prstGeom>
                </pic:spPr>
              </pic:pic>
            </a:graphicData>
          </a:graphic>
          <wp14:sizeRelH relativeFrom="page">
            <wp14:pctWidth>0</wp14:pctWidth>
          </wp14:sizeRelH>
          <wp14:sizeRelV relativeFrom="page">
            <wp14:pctHeight>0</wp14:pctHeight>
          </wp14:sizeRelV>
        </wp:anchor>
      </w:drawing>
    </w:r>
  </w:p>
  <w:p w14:paraId="2DBE33DE" w14:textId="71E1B931" w:rsidR="00027EA0" w:rsidRDefault="00027EA0" w:rsidP="00FE21DB">
    <w:pPr>
      <w:pStyle w:val="Pidipagina"/>
      <w:tabs>
        <w:tab w:val="clear" w:pos="4819"/>
        <w:tab w:val="clear" w:pos="9638"/>
        <w:tab w:val="left" w:pos="1005"/>
      </w:tabs>
    </w:pPr>
  </w:p>
  <w:p w14:paraId="102936C0" w14:textId="3E21D216" w:rsidR="00027EA0" w:rsidRDefault="00027EA0" w:rsidP="00FE21DB">
    <w:pPr>
      <w:pStyle w:val="Pidipagina"/>
      <w:tabs>
        <w:tab w:val="clear" w:pos="4819"/>
        <w:tab w:val="clear" w:pos="9638"/>
        <w:tab w:val="left" w:pos="1005"/>
      </w:tabs>
    </w:pPr>
  </w:p>
  <w:p w14:paraId="2B2BD8EA" w14:textId="4C2D5AAE" w:rsidR="00F506D6" w:rsidRDefault="00F506D6" w:rsidP="00FE21DB">
    <w:pPr>
      <w:pStyle w:val="Pidipagina"/>
      <w:tabs>
        <w:tab w:val="clear" w:pos="4819"/>
        <w:tab w:val="clear" w:pos="9638"/>
        <w:tab w:val="left" w:pos="1005"/>
      </w:tabs>
    </w:pPr>
  </w:p>
  <w:p w14:paraId="02FC9E9B" w14:textId="77777777" w:rsidR="00F506D6" w:rsidRDefault="00F506D6" w:rsidP="00FE21DB">
    <w:pPr>
      <w:pStyle w:val="Pidipagina"/>
      <w:tabs>
        <w:tab w:val="clear" w:pos="4819"/>
        <w:tab w:val="clear" w:pos="9638"/>
        <w:tab w:val="left" w:pos="10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7E9D" w14:textId="77777777" w:rsidR="00F506D6" w:rsidRDefault="00F506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5303" w14:textId="77777777" w:rsidR="00E06B3C" w:rsidRDefault="00E06B3C" w:rsidP="0052256D">
      <w:pPr>
        <w:spacing w:after="0" w:line="240" w:lineRule="auto"/>
      </w:pPr>
      <w:r>
        <w:separator/>
      </w:r>
    </w:p>
  </w:footnote>
  <w:footnote w:type="continuationSeparator" w:id="0">
    <w:p w14:paraId="6C7E8450" w14:textId="77777777" w:rsidR="00E06B3C" w:rsidRDefault="00E06B3C" w:rsidP="0052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BA4" w14:textId="77777777" w:rsidR="00F506D6" w:rsidRDefault="00F506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34E" w14:textId="1B05EB61" w:rsidR="0052256D" w:rsidRDefault="002C5F3E">
    <w:pPr>
      <w:pStyle w:val="Intestazione"/>
    </w:pPr>
    <w:r>
      <w:rPr>
        <w:noProof/>
      </w:rPr>
      <w:drawing>
        <wp:anchor distT="0" distB="0" distL="114300" distR="114300" simplePos="0" relativeHeight="251662336" behindDoc="1" locked="0" layoutInCell="1" allowOverlap="1" wp14:anchorId="4D4C5095" wp14:editId="6CC5AE5F">
          <wp:simplePos x="0" y="0"/>
          <wp:positionH relativeFrom="column">
            <wp:posOffset>4575810</wp:posOffset>
          </wp:positionH>
          <wp:positionV relativeFrom="paragraph">
            <wp:posOffset>-144780</wp:posOffset>
          </wp:positionV>
          <wp:extent cx="1317625" cy="51498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317625" cy="514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87287EE" wp14:editId="6C7897B4">
          <wp:simplePos x="0" y="0"/>
          <wp:positionH relativeFrom="margin">
            <wp:posOffset>161925</wp:posOffset>
          </wp:positionH>
          <wp:positionV relativeFrom="paragraph">
            <wp:posOffset>-144780</wp:posOffset>
          </wp:positionV>
          <wp:extent cx="2433320" cy="509905"/>
          <wp:effectExtent l="0" t="0" r="508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2433320" cy="509905"/>
                  </a:xfrm>
                  <a:prstGeom prst="rect">
                    <a:avLst/>
                  </a:prstGeom>
                </pic:spPr>
              </pic:pic>
            </a:graphicData>
          </a:graphic>
          <wp14:sizeRelH relativeFrom="page">
            <wp14:pctWidth>0</wp14:pctWidth>
          </wp14:sizeRelH>
          <wp14:sizeRelV relativeFrom="page">
            <wp14:pctHeight>0</wp14:pctHeight>
          </wp14:sizeRelV>
        </wp:anchor>
      </w:drawing>
    </w:r>
    <w:r w:rsidR="0052256D">
      <w:t xml:space="preserve">   </w:t>
    </w:r>
    <w:r w:rsidR="00FE21DB">
      <w:t xml:space="preserve">                                                                    </w:t>
    </w:r>
    <w:r w:rsidR="0052256D">
      <w:t xml:space="preserve">   </w:t>
    </w:r>
  </w:p>
  <w:p w14:paraId="64436ACC" w14:textId="235CD281" w:rsidR="002C5F3E" w:rsidRDefault="002C5F3E">
    <w:pPr>
      <w:pStyle w:val="Intestazione"/>
    </w:pPr>
  </w:p>
  <w:p w14:paraId="0E5ED885" w14:textId="7AC5FCA4" w:rsidR="002C5F3E" w:rsidRDefault="002C5F3E">
    <w:pPr>
      <w:pStyle w:val="Intestazione"/>
    </w:pPr>
    <w:r>
      <w:rPr>
        <w:noProof/>
      </w:rPr>
      <mc:AlternateContent>
        <mc:Choice Requires="wps">
          <w:drawing>
            <wp:anchor distT="0" distB="0" distL="114300" distR="114300" simplePos="0" relativeHeight="251664384" behindDoc="0" locked="0" layoutInCell="1" allowOverlap="1" wp14:anchorId="62CCEDC7" wp14:editId="3801A978">
              <wp:simplePos x="0" y="0"/>
              <wp:positionH relativeFrom="margin">
                <wp:align>center</wp:align>
              </wp:positionH>
              <wp:positionV relativeFrom="paragraph">
                <wp:posOffset>171450</wp:posOffset>
              </wp:positionV>
              <wp:extent cx="5857875" cy="0"/>
              <wp:effectExtent l="0" t="0" r="0" b="0"/>
              <wp:wrapNone/>
              <wp:docPr id="9" name="Connettore diritto 9"/>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366EA4" id="Connettore diritto 9"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46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" strokecolor="#aeaaaa [2414]" strokeweight=".5pt">
              <v:stroke joinstyle="miter"/>
              <w10:wrap anchorx="margin"/>
            </v:line>
          </w:pict>
        </mc:Fallback>
      </mc:AlternateContent>
    </w:r>
  </w:p>
  <w:p w14:paraId="46D7F004" w14:textId="3F53DCB8" w:rsidR="002C5F3E" w:rsidRDefault="002C5F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A8D8" w14:textId="77777777" w:rsidR="00F506D6" w:rsidRDefault="00F506D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3B"/>
    <w:rsid w:val="00027EA0"/>
    <w:rsid w:val="0005598A"/>
    <w:rsid w:val="0007162E"/>
    <w:rsid w:val="000805BE"/>
    <w:rsid w:val="00084648"/>
    <w:rsid w:val="00084BBA"/>
    <w:rsid w:val="00093129"/>
    <w:rsid w:val="000C6986"/>
    <w:rsid w:val="000C6C9C"/>
    <w:rsid w:val="000D2112"/>
    <w:rsid w:val="000D7DBD"/>
    <w:rsid w:val="000E387D"/>
    <w:rsid w:val="000E4670"/>
    <w:rsid w:val="000E774B"/>
    <w:rsid w:val="001037EE"/>
    <w:rsid w:val="00106604"/>
    <w:rsid w:val="0011008E"/>
    <w:rsid w:val="00141D4A"/>
    <w:rsid w:val="00144B58"/>
    <w:rsid w:val="0015115B"/>
    <w:rsid w:val="00155FE4"/>
    <w:rsid w:val="00175404"/>
    <w:rsid w:val="00185190"/>
    <w:rsid w:val="0019128C"/>
    <w:rsid w:val="0019442F"/>
    <w:rsid w:val="001950A2"/>
    <w:rsid w:val="001B0CF6"/>
    <w:rsid w:val="001B0D02"/>
    <w:rsid w:val="001B6B74"/>
    <w:rsid w:val="001C5639"/>
    <w:rsid w:val="001E73D5"/>
    <w:rsid w:val="0020077E"/>
    <w:rsid w:val="0022385B"/>
    <w:rsid w:val="00255430"/>
    <w:rsid w:val="00257344"/>
    <w:rsid w:val="00290C35"/>
    <w:rsid w:val="002B0AF7"/>
    <w:rsid w:val="002B33DB"/>
    <w:rsid w:val="002C5F3E"/>
    <w:rsid w:val="002C6098"/>
    <w:rsid w:val="002D1F0E"/>
    <w:rsid w:val="002D20AF"/>
    <w:rsid w:val="002D53A8"/>
    <w:rsid w:val="002F08FC"/>
    <w:rsid w:val="002F551E"/>
    <w:rsid w:val="003023F7"/>
    <w:rsid w:val="003118F8"/>
    <w:rsid w:val="00326B2F"/>
    <w:rsid w:val="00333387"/>
    <w:rsid w:val="003521DA"/>
    <w:rsid w:val="00357DCD"/>
    <w:rsid w:val="003616E5"/>
    <w:rsid w:val="00380764"/>
    <w:rsid w:val="003B5FC9"/>
    <w:rsid w:val="003D39E3"/>
    <w:rsid w:val="003D4ACB"/>
    <w:rsid w:val="003D7A04"/>
    <w:rsid w:val="00405827"/>
    <w:rsid w:val="00414CC9"/>
    <w:rsid w:val="00415D23"/>
    <w:rsid w:val="00431942"/>
    <w:rsid w:val="00440A5A"/>
    <w:rsid w:val="00451743"/>
    <w:rsid w:val="004927AF"/>
    <w:rsid w:val="00492B47"/>
    <w:rsid w:val="0049587A"/>
    <w:rsid w:val="004A3D8B"/>
    <w:rsid w:val="004A6E5A"/>
    <w:rsid w:val="004C7571"/>
    <w:rsid w:val="004E1C0F"/>
    <w:rsid w:val="004F573C"/>
    <w:rsid w:val="00505972"/>
    <w:rsid w:val="0052256D"/>
    <w:rsid w:val="00547BBF"/>
    <w:rsid w:val="005647E9"/>
    <w:rsid w:val="005664A3"/>
    <w:rsid w:val="005778F7"/>
    <w:rsid w:val="005844F7"/>
    <w:rsid w:val="0058490B"/>
    <w:rsid w:val="00584ED3"/>
    <w:rsid w:val="005906DF"/>
    <w:rsid w:val="00595363"/>
    <w:rsid w:val="005A05F5"/>
    <w:rsid w:val="005A170E"/>
    <w:rsid w:val="005A79C0"/>
    <w:rsid w:val="005A79C7"/>
    <w:rsid w:val="005B2971"/>
    <w:rsid w:val="005B3493"/>
    <w:rsid w:val="005D1BFA"/>
    <w:rsid w:val="00601835"/>
    <w:rsid w:val="00605D1E"/>
    <w:rsid w:val="00613E41"/>
    <w:rsid w:val="00615FC6"/>
    <w:rsid w:val="00617F09"/>
    <w:rsid w:val="006300C0"/>
    <w:rsid w:val="00630CCA"/>
    <w:rsid w:val="0066061F"/>
    <w:rsid w:val="00664440"/>
    <w:rsid w:val="00664A08"/>
    <w:rsid w:val="006665C9"/>
    <w:rsid w:val="00667851"/>
    <w:rsid w:val="00670C7D"/>
    <w:rsid w:val="00674BCC"/>
    <w:rsid w:val="00686021"/>
    <w:rsid w:val="00687391"/>
    <w:rsid w:val="006917B9"/>
    <w:rsid w:val="00694A95"/>
    <w:rsid w:val="006A5A69"/>
    <w:rsid w:val="006D32C9"/>
    <w:rsid w:val="006D4C65"/>
    <w:rsid w:val="006E1B47"/>
    <w:rsid w:val="006E2355"/>
    <w:rsid w:val="006E54C0"/>
    <w:rsid w:val="00701014"/>
    <w:rsid w:val="00702EE0"/>
    <w:rsid w:val="007171F2"/>
    <w:rsid w:val="00717A10"/>
    <w:rsid w:val="007427C8"/>
    <w:rsid w:val="0075324D"/>
    <w:rsid w:val="0079263F"/>
    <w:rsid w:val="0079594D"/>
    <w:rsid w:val="007B3DCD"/>
    <w:rsid w:val="007B49E2"/>
    <w:rsid w:val="007B64D4"/>
    <w:rsid w:val="007C0655"/>
    <w:rsid w:val="007C1BB9"/>
    <w:rsid w:val="00805C1C"/>
    <w:rsid w:val="00815AC7"/>
    <w:rsid w:val="008257D8"/>
    <w:rsid w:val="008317C2"/>
    <w:rsid w:val="00837BB5"/>
    <w:rsid w:val="008756DA"/>
    <w:rsid w:val="00881F47"/>
    <w:rsid w:val="0088224E"/>
    <w:rsid w:val="008871C2"/>
    <w:rsid w:val="008B14AD"/>
    <w:rsid w:val="008C32C5"/>
    <w:rsid w:val="008C440C"/>
    <w:rsid w:val="008C57D8"/>
    <w:rsid w:val="008C6446"/>
    <w:rsid w:val="008C7D3B"/>
    <w:rsid w:val="008D0DE6"/>
    <w:rsid w:val="008E7494"/>
    <w:rsid w:val="008F4BA3"/>
    <w:rsid w:val="008F73E0"/>
    <w:rsid w:val="0090058D"/>
    <w:rsid w:val="00912069"/>
    <w:rsid w:val="00921879"/>
    <w:rsid w:val="00933CE8"/>
    <w:rsid w:val="009533EC"/>
    <w:rsid w:val="009B3909"/>
    <w:rsid w:val="009C1837"/>
    <w:rsid w:val="009E09DC"/>
    <w:rsid w:val="009F442F"/>
    <w:rsid w:val="009F4B48"/>
    <w:rsid w:val="00A00982"/>
    <w:rsid w:val="00A158F5"/>
    <w:rsid w:val="00A209B6"/>
    <w:rsid w:val="00A21E3E"/>
    <w:rsid w:val="00A57622"/>
    <w:rsid w:val="00A952D3"/>
    <w:rsid w:val="00AA20EC"/>
    <w:rsid w:val="00AC0C81"/>
    <w:rsid w:val="00AC239B"/>
    <w:rsid w:val="00AE0681"/>
    <w:rsid w:val="00AE5A82"/>
    <w:rsid w:val="00AE781C"/>
    <w:rsid w:val="00B10A01"/>
    <w:rsid w:val="00B112AE"/>
    <w:rsid w:val="00B124D9"/>
    <w:rsid w:val="00B27B8C"/>
    <w:rsid w:val="00B27C3C"/>
    <w:rsid w:val="00B30945"/>
    <w:rsid w:val="00B46475"/>
    <w:rsid w:val="00B50538"/>
    <w:rsid w:val="00B54079"/>
    <w:rsid w:val="00B55FF1"/>
    <w:rsid w:val="00B6242F"/>
    <w:rsid w:val="00B712A8"/>
    <w:rsid w:val="00B732C6"/>
    <w:rsid w:val="00B74170"/>
    <w:rsid w:val="00B76FFE"/>
    <w:rsid w:val="00B83BCB"/>
    <w:rsid w:val="00B919AC"/>
    <w:rsid w:val="00B93C7C"/>
    <w:rsid w:val="00B95371"/>
    <w:rsid w:val="00B956E2"/>
    <w:rsid w:val="00BB5425"/>
    <w:rsid w:val="00BC3224"/>
    <w:rsid w:val="00BC4D2F"/>
    <w:rsid w:val="00BD25DE"/>
    <w:rsid w:val="00BF44A9"/>
    <w:rsid w:val="00BF6DF0"/>
    <w:rsid w:val="00BF7AE6"/>
    <w:rsid w:val="00C17830"/>
    <w:rsid w:val="00C3009B"/>
    <w:rsid w:val="00C537F6"/>
    <w:rsid w:val="00C7366C"/>
    <w:rsid w:val="00C73D64"/>
    <w:rsid w:val="00C812F5"/>
    <w:rsid w:val="00C84108"/>
    <w:rsid w:val="00CA56F8"/>
    <w:rsid w:val="00CB4395"/>
    <w:rsid w:val="00CE41EA"/>
    <w:rsid w:val="00CE53D6"/>
    <w:rsid w:val="00D004E4"/>
    <w:rsid w:val="00D0363E"/>
    <w:rsid w:val="00D125A2"/>
    <w:rsid w:val="00D13DF7"/>
    <w:rsid w:val="00D26A35"/>
    <w:rsid w:val="00D324D4"/>
    <w:rsid w:val="00D44882"/>
    <w:rsid w:val="00D46872"/>
    <w:rsid w:val="00D46EB4"/>
    <w:rsid w:val="00D914E0"/>
    <w:rsid w:val="00D93250"/>
    <w:rsid w:val="00D95B6F"/>
    <w:rsid w:val="00D97556"/>
    <w:rsid w:val="00DA4173"/>
    <w:rsid w:val="00DA6255"/>
    <w:rsid w:val="00DB09CF"/>
    <w:rsid w:val="00DB78FB"/>
    <w:rsid w:val="00DC0593"/>
    <w:rsid w:val="00DC09E1"/>
    <w:rsid w:val="00DC473B"/>
    <w:rsid w:val="00DC5DA9"/>
    <w:rsid w:val="00DF0C35"/>
    <w:rsid w:val="00DF4076"/>
    <w:rsid w:val="00E040A4"/>
    <w:rsid w:val="00E06B3C"/>
    <w:rsid w:val="00E20CAC"/>
    <w:rsid w:val="00E22815"/>
    <w:rsid w:val="00E22CEA"/>
    <w:rsid w:val="00E802FC"/>
    <w:rsid w:val="00E81924"/>
    <w:rsid w:val="00E97D4D"/>
    <w:rsid w:val="00EA5847"/>
    <w:rsid w:val="00EB5790"/>
    <w:rsid w:val="00EC0A85"/>
    <w:rsid w:val="00EC6FE6"/>
    <w:rsid w:val="00EE43DD"/>
    <w:rsid w:val="00EF66FA"/>
    <w:rsid w:val="00EF69C2"/>
    <w:rsid w:val="00F0116A"/>
    <w:rsid w:val="00F14D25"/>
    <w:rsid w:val="00F20D06"/>
    <w:rsid w:val="00F27E9F"/>
    <w:rsid w:val="00F36CFB"/>
    <w:rsid w:val="00F42A7E"/>
    <w:rsid w:val="00F42B25"/>
    <w:rsid w:val="00F43293"/>
    <w:rsid w:val="00F506D6"/>
    <w:rsid w:val="00F803B6"/>
    <w:rsid w:val="00F81FC9"/>
    <w:rsid w:val="00F9302B"/>
    <w:rsid w:val="00FA1F13"/>
    <w:rsid w:val="00FA2359"/>
    <w:rsid w:val="00FA26FB"/>
    <w:rsid w:val="00FB0C9C"/>
    <w:rsid w:val="00FB264E"/>
    <w:rsid w:val="00FD0B50"/>
    <w:rsid w:val="00FE2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1192"/>
  <w15:chartTrackingRefBased/>
  <w15:docId w15:val="{AAAD53E2-7ECC-4F3A-B202-30C30411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78F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56D"/>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52256D"/>
  </w:style>
  <w:style w:type="paragraph" w:styleId="Pidipagina">
    <w:name w:val="footer"/>
    <w:basedOn w:val="Normale"/>
    <w:link w:val="PidipaginaCarattere"/>
    <w:uiPriority w:val="99"/>
    <w:unhideWhenUsed/>
    <w:rsid w:val="0052256D"/>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52256D"/>
  </w:style>
  <w:style w:type="paragraph" w:styleId="Testonotaapidipagina">
    <w:name w:val="footnote text"/>
    <w:aliases w:val="Char,Footnote Text Char1,Footnote Text Char Char,Footnote,Footnote1,Footnote2,Footnote3,Footnote4,Footnote5,Footnote6,Footnote7,Footnote8,Footnote9,Footnote10,Footnote11,Footnote21,Footnote31,Footnote41,Footnote51,Footnote61"/>
    <w:basedOn w:val="Normale"/>
    <w:link w:val="TestonotaapidipaginaCarattere"/>
    <w:uiPriority w:val="99"/>
    <w:unhideWhenUsed/>
    <w:qFormat/>
    <w:rsid w:val="0049587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aliases w:val="Char Carattere,Footnote Text Char1 Carattere,Footnote Text Char Char Carattere,Footnote Carattere,Footnote1 Carattere,Footnote2 Carattere,Footnote3 Carattere,Footnote4 Carattere,Footnote5 Carattere"/>
    <w:basedOn w:val="Carpredefinitoparagrafo"/>
    <w:link w:val="Testonotaapidipagina"/>
    <w:uiPriority w:val="99"/>
    <w:qFormat/>
    <w:rsid w:val="0049587A"/>
    <w:rPr>
      <w:rFonts w:ascii="Times New Roman" w:eastAsia="Times New Roman" w:hAnsi="Times New Roman" w:cs="Times New Roman"/>
      <w:sz w:val="20"/>
      <w:szCs w:val="20"/>
      <w:lang w:eastAsia="it-IT"/>
    </w:rPr>
  </w:style>
  <w:style w:type="character" w:styleId="Rimandonotaapidipagina">
    <w:name w:val="footnote reference"/>
    <w:aliases w:val="Footnote number,SUPERS,DNV-FR,Footnote symbol,Rimando nota a piè di pagina-IMONT,Voetnootverwijzing,EN Footnote Reference,-E Fuﬂnotenzeichen,-E Fuûnotenzeichen,-E Fußnotenzeichen,number,Footnote reference number,note TESI"/>
    <w:basedOn w:val="Carpredefinitoparagrafo"/>
    <w:link w:val="16Point"/>
    <w:uiPriority w:val="99"/>
    <w:unhideWhenUsed/>
    <w:qFormat/>
    <w:rsid w:val="0049587A"/>
    <w:rPr>
      <w:vertAlign w:val="superscript"/>
    </w:rPr>
  </w:style>
  <w:style w:type="paragraph" w:customStyle="1" w:styleId="16Point">
    <w:name w:val="16 Point"/>
    <w:aliases w:val="Superscript 6 Point,Exposant 3 Point,footnote ref,2001+ Fußnotenzeichen,BVI fnr Знак Знак,BVI fnr Car Car Знак Знак,BVI fnr Car Знак Знак,R,Times 10 Point,Odwołanie przypisu,fr"/>
    <w:basedOn w:val="Normale"/>
    <w:link w:val="Rimandonotaapidipagina"/>
    <w:uiPriority w:val="99"/>
    <w:rsid w:val="0049587A"/>
    <w:pPr>
      <w:spacing w:before="40" w:after="40" w:line="200" w:lineRule="exact"/>
    </w:pPr>
    <w:rPr>
      <w:rFonts w:asciiTheme="minorHAnsi" w:eastAsiaTheme="minorHAnsi" w:hAnsiTheme="minorHAnsi" w:cstheme="minorBidi"/>
      <w:vertAlign w:val="superscript"/>
    </w:rPr>
  </w:style>
  <w:style w:type="paragraph" w:customStyle="1" w:styleId="Default">
    <w:name w:val="Default"/>
    <w:rsid w:val="00D914E0"/>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6D32C9"/>
    <w:rPr>
      <w:sz w:val="16"/>
      <w:szCs w:val="16"/>
    </w:rPr>
  </w:style>
  <w:style w:type="paragraph" w:styleId="Testocommento">
    <w:name w:val="annotation text"/>
    <w:basedOn w:val="Normale"/>
    <w:link w:val="TestocommentoCarattere"/>
    <w:uiPriority w:val="99"/>
    <w:semiHidden/>
    <w:unhideWhenUsed/>
    <w:rsid w:val="006D32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D32C9"/>
    <w:rPr>
      <w:rFonts w:ascii="Calibri" w:eastAsia="Calibri" w:hAnsi="Calibri" w:cs="Times New Roman"/>
      <w:sz w:val="20"/>
      <w:szCs w:val="20"/>
    </w:rPr>
  </w:style>
  <w:style w:type="paragraph" w:styleId="Revisione">
    <w:name w:val="Revision"/>
    <w:hidden/>
    <w:uiPriority w:val="99"/>
    <w:semiHidden/>
    <w:rsid w:val="00357D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22142">
      <w:bodyDiv w:val="1"/>
      <w:marLeft w:val="0"/>
      <w:marRight w:val="0"/>
      <w:marTop w:val="0"/>
      <w:marBottom w:val="0"/>
      <w:divBdr>
        <w:top w:val="none" w:sz="0" w:space="0" w:color="auto"/>
        <w:left w:val="none" w:sz="0" w:space="0" w:color="auto"/>
        <w:bottom w:val="none" w:sz="0" w:space="0" w:color="auto"/>
        <w:right w:val="none" w:sz="0" w:space="0" w:color="auto"/>
      </w:divBdr>
      <w:divsChild>
        <w:div w:id="624625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59AD-6351-4439-8134-1D40F50E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2167</Words>
  <Characters>12354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Forcella</dc:creator>
  <cp:keywords/>
  <dc:description/>
  <cp:lastModifiedBy>Loredana Capuozzo</cp:lastModifiedBy>
  <cp:revision>3</cp:revision>
  <cp:lastPrinted>2022-10-19T10:30:00Z</cp:lastPrinted>
  <dcterms:created xsi:type="dcterms:W3CDTF">2022-10-24T11:19:00Z</dcterms:created>
  <dcterms:modified xsi:type="dcterms:W3CDTF">2022-10-25T09:50:00Z</dcterms:modified>
</cp:coreProperties>
</file>