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7CA9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2412D52B" wp14:editId="0188AB91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732A7E17" wp14:editId="40341CD6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1411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0F93C49E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32EA9F5E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74E09D05" w14:textId="2930F6EB" w:rsidR="00AB28DD" w:rsidRDefault="00AB28DD" w:rsidP="00AB28DD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bookmarkStart w:id="0" w:name="_Hlk117605659"/>
      <w:bookmarkStart w:id="1" w:name="_Hlk128217566"/>
      <w:bookmarkStart w:id="2" w:name="_Hlk130895796"/>
      <w:bookmarkStart w:id="3" w:name="_Hlk147132295"/>
      <w:bookmarkStart w:id="4" w:name="_Hlk160008660"/>
      <w:r w:rsidRPr="00AB28DD">
        <w:rPr>
          <w:b/>
          <w:bCs/>
          <w:color w:val="auto"/>
          <w:sz w:val="28"/>
          <w:szCs w:val="28"/>
        </w:rPr>
        <w:t xml:space="preserve">Agroalimentare, </w:t>
      </w:r>
      <w:r w:rsidR="00094650" w:rsidRPr="00094650">
        <w:rPr>
          <w:b/>
          <w:bCs/>
          <w:color w:val="auto"/>
          <w:sz w:val="28"/>
          <w:szCs w:val="28"/>
        </w:rPr>
        <w:t xml:space="preserve">ad aprile </w:t>
      </w:r>
      <w:r w:rsidR="00094650">
        <w:rPr>
          <w:b/>
          <w:bCs/>
          <w:color w:val="auto"/>
          <w:sz w:val="28"/>
          <w:szCs w:val="28"/>
        </w:rPr>
        <w:t>calano</w:t>
      </w:r>
      <w:r w:rsidR="00094650" w:rsidRPr="00094650">
        <w:rPr>
          <w:b/>
          <w:bCs/>
          <w:color w:val="auto"/>
          <w:sz w:val="28"/>
          <w:szCs w:val="28"/>
        </w:rPr>
        <w:t xml:space="preserve"> i prezzi di olio di oliva e latte. Ortaggi </w:t>
      </w:r>
      <w:r w:rsidR="00626E07">
        <w:rPr>
          <w:b/>
          <w:bCs/>
          <w:color w:val="auto"/>
          <w:sz w:val="28"/>
          <w:szCs w:val="28"/>
        </w:rPr>
        <w:t xml:space="preserve">e pescato </w:t>
      </w:r>
      <w:r w:rsidR="00094650" w:rsidRPr="00094650">
        <w:rPr>
          <w:b/>
          <w:bCs/>
          <w:color w:val="auto"/>
          <w:sz w:val="28"/>
          <w:szCs w:val="28"/>
        </w:rPr>
        <w:t>condizionati dal clima instabile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7B9CB830" w14:textId="77777777" w:rsidR="0045368A" w:rsidRPr="00AB28DD" w:rsidRDefault="0045368A" w:rsidP="00AB28DD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</w:p>
    <w:bookmarkEnd w:id="0"/>
    <w:bookmarkEnd w:id="1"/>
    <w:bookmarkEnd w:id="2"/>
    <w:bookmarkEnd w:id="3"/>
    <w:p w14:paraId="2CE2BF28" w14:textId="4D0986D8" w:rsidR="00AB28DD" w:rsidRDefault="00AB28DD" w:rsidP="00AB28DD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Roma, </w:t>
      </w:r>
      <w:r w:rsidR="00062116">
        <w:rPr>
          <w:rFonts w:ascii="Calibri" w:eastAsia="Calibri" w:hAnsi="Calibri" w:cs="Calibri"/>
          <w:bCs/>
          <w:sz w:val="22"/>
          <w:szCs w:val="22"/>
          <w:lang w:eastAsia="en-US"/>
        </w:rPr>
        <w:t>27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maggio 2024 – Da quanto emerge nell’ultimo indice dei prezzi all’ingrosso elaborato da </w:t>
      </w:r>
      <w:r w:rsidRPr="0063223A">
        <w:rPr>
          <w:rFonts w:ascii="Calibri" w:eastAsia="Calibri" w:hAnsi="Calibri" w:cs="Calibri"/>
          <w:b/>
          <w:sz w:val="22"/>
          <w:szCs w:val="22"/>
          <w:lang w:eastAsia="en-US"/>
        </w:rPr>
        <w:t>Unioncamere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 w:rsidRPr="0063223A">
        <w:rPr>
          <w:rFonts w:ascii="Calibri" w:eastAsia="Calibri" w:hAnsi="Calibri" w:cs="Calibri"/>
          <w:b/>
          <w:sz w:val="22"/>
          <w:szCs w:val="22"/>
          <w:lang w:eastAsia="en-US"/>
        </w:rPr>
        <w:t>BMTI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ad aprile </w:t>
      </w:r>
      <w:r w:rsidR="000B6F16">
        <w:rPr>
          <w:rFonts w:ascii="Calibri" w:eastAsia="Calibri" w:hAnsi="Calibri" w:cs="Calibri"/>
          <w:bCs/>
          <w:sz w:val="22"/>
          <w:szCs w:val="22"/>
          <w:lang w:eastAsia="en-US"/>
        </w:rPr>
        <w:t>i prezzi nel settore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ortofrutticolo </w:t>
      </w:r>
      <w:r w:rsidR="000B6F16">
        <w:rPr>
          <w:rFonts w:ascii="Calibri" w:eastAsia="Calibri" w:hAnsi="Calibri" w:cs="Calibri"/>
          <w:bCs/>
          <w:sz w:val="22"/>
          <w:szCs w:val="22"/>
          <w:lang w:eastAsia="en-US"/>
        </w:rPr>
        <w:t>sono stati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particolarmente condizionat</w:t>
      </w:r>
      <w:r w:rsidR="000B6F16">
        <w:rPr>
          <w:rFonts w:ascii="Calibri" w:eastAsia="Calibri" w:hAnsi="Calibri" w:cs="Calibri"/>
          <w:bCs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0B6F16">
        <w:rPr>
          <w:rFonts w:ascii="Calibri" w:eastAsia="Calibri" w:hAnsi="Calibri" w:cs="Calibri"/>
          <w:bCs/>
          <w:sz w:val="22"/>
          <w:szCs w:val="22"/>
          <w:lang w:eastAsia="en-US"/>
        </w:rPr>
        <w:t>dall’instabilità delle condizioni atmosferiche, caratterizzate da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>temperature primaverili nella prima parte del mese e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successivamente, </w:t>
      </w:r>
      <w:r w:rsidR="000B6F16">
        <w:rPr>
          <w:rFonts w:ascii="Calibri" w:eastAsia="Calibri" w:hAnsi="Calibri" w:cs="Calibri"/>
          <w:bCs/>
          <w:sz w:val="22"/>
          <w:szCs w:val="22"/>
          <w:lang w:eastAsia="en-US"/>
        </w:rPr>
        <w:t>da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precipitazioni e calo delle temperature</w:t>
      </w:r>
      <w:r w:rsidR="000B6F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nella seconda parte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>. Tali circostanze hanno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determinato 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un rallentamento delle produzioni ed 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un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aument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>de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prezzi </w:t>
      </w:r>
      <w:r w:rsidR="000B6F16">
        <w:rPr>
          <w:rFonts w:ascii="Calibri" w:eastAsia="Calibri" w:hAnsi="Calibri" w:cs="Calibri"/>
          <w:bCs/>
          <w:sz w:val="22"/>
          <w:szCs w:val="22"/>
          <w:lang w:eastAsia="en-US"/>
        </w:rPr>
        <w:t>di alcuni prodotti orticoli tra cui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63223A">
        <w:rPr>
          <w:rFonts w:ascii="Calibri" w:eastAsia="Calibri" w:hAnsi="Calibri" w:cs="Calibri"/>
          <w:b/>
          <w:sz w:val="22"/>
          <w:szCs w:val="22"/>
          <w:lang w:eastAsia="en-US"/>
        </w:rPr>
        <w:t>lattughe</w:t>
      </w:r>
      <w:r w:rsidR="000B6F1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0B6F16" w:rsidRPr="000B6F16">
        <w:rPr>
          <w:rFonts w:ascii="Calibri" w:eastAsia="Calibri" w:hAnsi="Calibri" w:cs="Calibri"/>
          <w:bCs/>
          <w:sz w:val="22"/>
          <w:szCs w:val="22"/>
          <w:lang w:eastAsia="en-US"/>
        </w:rPr>
        <w:t>(+5,7% rispetto a marzo)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D838F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0B6F1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che </w:t>
      </w:r>
      <w:r w:rsidR="00D838F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si mantengono comunque inferiori del 30% rispetto allo scorso anno, 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63223A">
        <w:rPr>
          <w:rFonts w:ascii="Calibri" w:eastAsia="Calibri" w:hAnsi="Calibri" w:cs="Calibri"/>
          <w:b/>
          <w:sz w:val="22"/>
          <w:szCs w:val="22"/>
          <w:lang w:eastAsia="en-US"/>
        </w:rPr>
        <w:t>patate</w:t>
      </w:r>
      <w:r w:rsidR="00D838F2" w:rsidRPr="0063223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novelle</w:t>
      </w:r>
      <w:r w:rsidR="00D838F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di produzione siciliana e pugliese (+7,4% rispetto a marzo), 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>le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63223A">
        <w:rPr>
          <w:rFonts w:ascii="Calibri" w:eastAsia="Calibri" w:hAnsi="Calibri" w:cs="Calibri"/>
          <w:b/>
          <w:sz w:val="22"/>
          <w:szCs w:val="22"/>
          <w:lang w:eastAsia="en-US"/>
        </w:rPr>
        <w:t>cipolle</w:t>
      </w:r>
      <w:r w:rsidR="00D838F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(+12%)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</w:t>
      </w:r>
      <w:r w:rsidR="004764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63223A">
        <w:rPr>
          <w:rFonts w:ascii="Calibri" w:eastAsia="Calibri" w:hAnsi="Calibri" w:cs="Calibri"/>
          <w:b/>
          <w:sz w:val="22"/>
          <w:szCs w:val="22"/>
          <w:lang w:eastAsia="en-US"/>
        </w:rPr>
        <w:t>cavoli</w:t>
      </w:r>
      <w:r w:rsidR="00D838F2" w:rsidRPr="0063223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broccoli</w:t>
      </w:r>
      <w:r w:rsidR="00D838F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(quasi +11%)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2E7FA5" w:rsidRPr="002E7FA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Timido l’avvio di annata per i </w:t>
      </w:r>
      <w:r w:rsidR="002E7FA5" w:rsidRPr="002E7FA5">
        <w:rPr>
          <w:rFonts w:ascii="Calibri" w:eastAsia="Calibri" w:hAnsi="Calibri" w:cs="Calibri"/>
          <w:b/>
          <w:sz w:val="22"/>
          <w:szCs w:val="22"/>
          <w:lang w:eastAsia="en-US"/>
        </w:rPr>
        <w:t>meloni</w:t>
      </w:r>
      <w:r w:rsidR="002E7FA5" w:rsidRPr="002E7FA5">
        <w:rPr>
          <w:rFonts w:ascii="Calibri" w:eastAsia="Calibri" w:hAnsi="Calibri" w:cs="Calibri"/>
          <w:bCs/>
          <w:sz w:val="22"/>
          <w:szCs w:val="22"/>
          <w:lang w:eastAsia="en-US"/>
        </w:rPr>
        <w:t>, che mostrano valori inferiori del 7% su base mensile e quasi del 17% su base annua. Il melone è stato uno dei prodotti che più ha sofferto dell’andamento climatico incostante di aprile</w:t>
      </w:r>
      <w:r w:rsidR="002E7FA5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14:paraId="7D0DE71A" w14:textId="0BE0E1D5" w:rsidR="004764FA" w:rsidRDefault="004764FA" w:rsidP="00AB28DD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Nel settore zootecnico, invece, è continuato </w:t>
      </w:r>
      <w:r w:rsidR="002E7FA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ad aprile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il calo per il </w:t>
      </w:r>
      <w:r w:rsidRPr="0063223A">
        <w:rPr>
          <w:rFonts w:ascii="Calibri" w:eastAsia="Calibri" w:hAnsi="Calibri" w:cs="Calibri"/>
          <w:b/>
          <w:sz w:val="22"/>
          <w:szCs w:val="22"/>
          <w:lang w:eastAsia="en-US"/>
        </w:rPr>
        <w:t>latte spot</w:t>
      </w:r>
      <w:r w:rsidR="00D838F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ossia il latte venduto sfuso in cisterna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838F2">
        <w:rPr>
          <w:rFonts w:ascii="Calibri" w:eastAsia="Calibri" w:hAnsi="Calibri" w:cs="Calibri"/>
          <w:bCs/>
          <w:sz w:val="22"/>
          <w:szCs w:val="22"/>
          <w:lang w:eastAsia="en-US"/>
        </w:rPr>
        <w:t>(-2,5% rispetto a marzo)</w:t>
      </w:r>
      <w:r w:rsidR="000B6F16">
        <w:rPr>
          <w:rFonts w:ascii="Calibri" w:eastAsia="Calibri" w:hAnsi="Calibri" w:cs="Calibri"/>
          <w:bCs/>
          <w:sz w:val="22"/>
          <w:szCs w:val="22"/>
          <w:lang w:eastAsia="en-US"/>
        </w:rPr>
        <w:t>, che ha risentito anche di una maggiore produzione favorita dalle temperature fresche</w:t>
      </w:r>
      <w:r w:rsidR="00D838F2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14:paraId="6842B458" w14:textId="07250EBB" w:rsidR="004764FA" w:rsidRDefault="004764FA" w:rsidP="00AB28DD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In ribasso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dell’1,7%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rispetto al mese precedente le carni di </w:t>
      </w:r>
      <w:r w:rsidRPr="0063223A">
        <w:rPr>
          <w:rFonts w:ascii="Calibri" w:eastAsia="Calibri" w:hAnsi="Calibri" w:cs="Calibri"/>
          <w:b/>
          <w:sz w:val="22"/>
          <w:szCs w:val="22"/>
          <w:lang w:eastAsia="en-US"/>
        </w:rPr>
        <w:t>bovino adulto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mentre 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>sono aumentate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del 2,1% i prezzi delle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63223A">
        <w:rPr>
          <w:rFonts w:ascii="Calibri" w:eastAsia="Calibri" w:hAnsi="Calibri" w:cs="Calibri"/>
          <w:b/>
          <w:sz w:val="22"/>
          <w:szCs w:val="22"/>
          <w:lang w:eastAsia="en-US"/>
        </w:rPr>
        <w:t>carni di pollo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grazie al buon andamento </w:t>
      </w:r>
      <w:r w:rsidR="002E7FA5">
        <w:rPr>
          <w:rFonts w:ascii="Calibri" w:eastAsia="Calibri" w:hAnsi="Calibri" w:cs="Calibri"/>
          <w:bCs/>
          <w:sz w:val="22"/>
          <w:szCs w:val="22"/>
          <w:lang w:eastAsia="en-US"/>
        </w:rPr>
        <w:t>della domanda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>favorit</w:t>
      </w:r>
      <w:r w:rsidR="002E7FA5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anche </w:t>
      </w:r>
      <w:r w:rsidR="002E7FA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in questo caso 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>d</w:t>
      </w:r>
      <w:r w:rsidR="0045368A" w:rsidRPr="00E52D3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alle temperature 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ancora </w:t>
      </w:r>
      <w:r w:rsidR="0045368A" w:rsidRPr="00E52D3F">
        <w:rPr>
          <w:rFonts w:ascii="Calibri" w:eastAsia="Calibri" w:hAnsi="Calibri" w:cs="Calibri"/>
          <w:bCs/>
          <w:sz w:val="22"/>
          <w:szCs w:val="22"/>
          <w:lang w:eastAsia="en-US"/>
        </w:rPr>
        <w:t>fresche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di aprile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>Tuttavia, i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prezzi attuali restano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>più bassi del 15,3%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rispetto allo scorso anno. Allo stesso modo, rispetto al 2023, sono in calo del 17,6% anche le </w:t>
      </w:r>
      <w:r w:rsidR="0045368A" w:rsidRPr="0063223A">
        <w:rPr>
          <w:rFonts w:ascii="Calibri" w:eastAsia="Calibri" w:hAnsi="Calibri" w:cs="Calibri"/>
          <w:b/>
          <w:sz w:val="22"/>
          <w:szCs w:val="22"/>
          <w:lang w:eastAsia="en-US"/>
        </w:rPr>
        <w:t>carni di tacchino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che, invece, rispetto al mese di marzo sono rimaste stabili. </w:t>
      </w:r>
    </w:p>
    <w:p w14:paraId="0C5F0A09" w14:textId="46034382" w:rsidR="0045368A" w:rsidRDefault="002E7FA5" w:rsidP="00AB28DD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Sostanziale s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>tabili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>tà anche per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 prezzi all’ingrosso di </w:t>
      </w:r>
      <w:r w:rsidR="0045368A" w:rsidRPr="0063223A">
        <w:rPr>
          <w:rFonts w:ascii="Calibri" w:eastAsia="Calibri" w:hAnsi="Calibri" w:cs="Calibri"/>
          <w:b/>
          <w:sz w:val="22"/>
          <w:szCs w:val="22"/>
          <w:lang w:eastAsia="en-US"/>
        </w:rPr>
        <w:t>riso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dei derivati dei </w:t>
      </w:r>
      <w:r w:rsidR="0045368A" w:rsidRPr="0063223A">
        <w:rPr>
          <w:rFonts w:ascii="Calibri" w:eastAsia="Calibri" w:hAnsi="Calibri" w:cs="Calibri"/>
          <w:b/>
          <w:sz w:val="22"/>
          <w:szCs w:val="22"/>
          <w:lang w:eastAsia="en-US"/>
        </w:rPr>
        <w:t>cereali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2E7FA5">
        <w:rPr>
          <w:rFonts w:ascii="Calibri" w:eastAsia="Calibri" w:hAnsi="Calibri" w:cs="Calibri"/>
          <w:bCs/>
          <w:sz w:val="22"/>
          <w:szCs w:val="22"/>
          <w:lang w:eastAsia="en-US"/>
        </w:rPr>
        <w:t>(semola e farina)</w:t>
      </w:r>
      <w:r w:rsidR="0045368A" w:rsidRPr="002E7FA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63223A" w:rsidRPr="002E7FA5">
        <w:rPr>
          <w:rFonts w:ascii="Calibri" w:eastAsia="Calibri" w:hAnsi="Calibri" w:cs="Calibri"/>
          <w:bCs/>
          <w:sz w:val="22"/>
          <w:szCs w:val="22"/>
          <w:lang w:eastAsia="en-US"/>
        </w:rPr>
        <w:t>che confermano</w:t>
      </w:r>
      <w:r w:rsidR="0045368A" w:rsidRPr="002E7FA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un ribasso del -10% rispetto al 2023. </w:t>
      </w:r>
    </w:p>
    <w:p w14:paraId="5A7C045C" w14:textId="6FB515B6" w:rsidR="009E314A" w:rsidRPr="003E735E" w:rsidRDefault="002E7FA5" w:rsidP="009E314A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Tra gli oli e grassi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>, è stato rilevato u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 leggero </w:t>
      </w:r>
      <w:r w:rsidR="0063223A">
        <w:rPr>
          <w:rFonts w:ascii="Calibri" w:eastAsia="Calibri" w:hAnsi="Calibri" w:cs="Calibri"/>
          <w:bCs/>
          <w:sz w:val="22"/>
          <w:szCs w:val="22"/>
          <w:lang w:eastAsia="en-US"/>
        </w:rPr>
        <w:t>calo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dello 0,8% per l’</w:t>
      </w:r>
      <w:r w:rsidR="0045368A" w:rsidRPr="0063223A">
        <w:rPr>
          <w:rFonts w:ascii="Calibri" w:eastAsia="Calibri" w:hAnsi="Calibri" w:cs="Calibri"/>
          <w:b/>
          <w:sz w:val="22"/>
          <w:szCs w:val="22"/>
          <w:lang w:eastAsia="en-US"/>
        </w:rPr>
        <w:t>olio di oliva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con il mercato italiano che ha risentito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anche </w:t>
      </w:r>
      <w:r w:rsidR="0045368A" w:rsidRPr="00290B81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63223A">
        <w:rPr>
          <w:rFonts w:asciiTheme="minorHAnsi" w:eastAsia="Calibri" w:hAnsiTheme="minorHAnsi" w:cstheme="minorHAnsi"/>
          <w:sz w:val="22"/>
          <w:szCs w:val="22"/>
          <w:lang w:eastAsia="en-US"/>
        </w:rPr>
        <w:t>el</w:t>
      </w:r>
      <w:r w:rsidR="0045368A" w:rsidRPr="00290B81">
        <w:rPr>
          <w:rFonts w:asciiTheme="minorHAnsi" w:eastAsia="Calibri" w:hAnsiTheme="minorHAnsi" w:cstheme="minorHAnsi"/>
          <w:sz w:val="22"/>
          <w:szCs w:val="22"/>
          <w:lang w:eastAsia="en-US"/>
        </w:rPr>
        <w:t>la revisione al rialzo delle stime sulla produzione spagnola e d</w:t>
      </w:r>
      <w:r w:rsidR="0063223A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45368A" w:rsidRPr="00290B81">
        <w:rPr>
          <w:rFonts w:asciiTheme="minorHAnsi" w:eastAsia="Calibri" w:hAnsiTheme="minorHAnsi" w:cstheme="minorHAnsi"/>
          <w:sz w:val="22"/>
          <w:szCs w:val="22"/>
          <w:lang w:eastAsia="en-US"/>
        </w:rPr>
        <w:t>lle piogge registrate nella penisola iberica</w:t>
      </w:r>
      <w:r w:rsidR="0045368A" w:rsidRPr="007804E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prezzi attuali rimangono comunque elevati, superiori del +51,3% rispetto ad un anno fa. </w:t>
      </w:r>
      <w:r w:rsidR="009E314A">
        <w:rPr>
          <w:rFonts w:ascii="Calibri" w:eastAsia="Calibri" w:hAnsi="Calibri" w:cs="Calibri"/>
          <w:bCs/>
          <w:sz w:val="22"/>
          <w:szCs w:val="22"/>
          <w:lang w:eastAsia="en-US"/>
        </w:rPr>
        <w:t>Sulla scia dei rialzi del prezzo dell’olio di semi di girasole, to</w:t>
      </w:r>
      <w:r w:rsidR="0045368A" w:rsidRPr="007804E4">
        <w:rPr>
          <w:rFonts w:ascii="Calibri" w:eastAsia="Calibri" w:hAnsi="Calibri" w:cs="Calibri"/>
          <w:bCs/>
          <w:sz w:val="22"/>
          <w:szCs w:val="22"/>
          <w:lang w:eastAsia="en-US"/>
        </w:rPr>
        <w:t>rnano a crescere i listini dell’</w:t>
      </w:r>
      <w:r w:rsidR="0045368A" w:rsidRPr="009E314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olio di semi </w:t>
      </w:r>
      <w:r w:rsidR="009E314A">
        <w:rPr>
          <w:rFonts w:ascii="Calibri" w:eastAsia="Calibri" w:hAnsi="Calibri" w:cs="Calibri"/>
          <w:bCs/>
          <w:sz w:val="22"/>
          <w:szCs w:val="22"/>
          <w:lang w:eastAsia="en-US"/>
        </w:rPr>
        <w:t>(+2,4% rispetto al mese precedente)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</w:p>
    <w:p w14:paraId="7E0DFA3C" w14:textId="4750D781" w:rsidR="0045368A" w:rsidRDefault="009E314A" w:rsidP="00F5638B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Tra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le materie grasse sono diminuiti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del 2,3%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 prezzi del </w:t>
      </w:r>
      <w:r w:rsidR="0045368A" w:rsidRPr="009E314A">
        <w:rPr>
          <w:rFonts w:ascii="Calibri" w:eastAsia="Calibri" w:hAnsi="Calibri" w:cs="Calibri"/>
          <w:b/>
          <w:sz w:val="22"/>
          <w:szCs w:val="22"/>
          <w:lang w:eastAsia="en-US"/>
        </w:rPr>
        <w:t>burro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che continuano a essere superiori del 30% rispetto al 2023</w:t>
      </w:r>
      <w:r w:rsidR="0045368A" w:rsidRPr="007804E4">
        <w:rPr>
          <w:rFonts w:ascii="Calibri" w:eastAsia="Calibri" w:hAnsi="Calibri" w:cs="Calibri"/>
          <w:bCs/>
          <w:sz w:val="22"/>
          <w:szCs w:val="22"/>
          <w:lang w:eastAsia="en-US"/>
        </w:rPr>
        <w:t>.  Nel settore ittico, si evidenziano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diffusi rialzi per i prezzi del pescato, complic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i, da un lato,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una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riduzione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dell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 attività di pesca dovuta al maltempo 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 dall’altro,</w:t>
      </w:r>
      <w:r w:rsidR="0045368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il buon andamento della domanda proveniente dalla ristorazione.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>Gli aumenti più rilevanti si registrano per i</w:t>
      </w:r>
      <w:r w:rsidRPr="00C47D66">
        <w:rPr>
          <w:rFonts w:ascii="Calibri" w:hAnsi="Calibri" w:cs="Calibri"/>
          <w:sz w:val="22"/>
          <w:szCs w:val="22"/>
        </w:rPr>
        <w:t xml:space="preserve"> </w:t>
      </w:r>
      <w:r w:rsidRPr="00C47D66">
        <w:rPr>
          <w:rFonts w:ascii="Calibri" w:hAnsi="Calibri" w:cs="Calibri"/>
          <w:b/>
          <w:bCs/>
          <w:sz w:val="22"/>
          <w:szCs w:val="22"/>
        </w:rPr>
        <w:t xml:space="preserve">cefali </w:t>
      </w:r>
      <w:r w:rsidRPr="00C47D66">
        <w:rPr>
          <w:rFonts w:ascii="Calibri" w:hAnsi="Calibri" w:cs="Calibri"/>
          <w:sz w:val="22"/>
          <w:szCs w:val="22"/>
        </w:rPr>
        <w:t>(+46,1%</w:t>
      </w:r>
      <w:r>
        <w:rPr>
          <w:rFonts w:ascii="Calibri" w:hAnsi="Calibri" w:cs="Calibri"/>
          <w:sz w:val="22"/>
          <w:szCs w:val="22"/>
        </w:rPr>
        <w:t xml:space="preserve"> su base mensile</w:t>
      </w:r>
      <w:r w:rsidRPr="00C47D66"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sz w:val="22"/>
          <w:szCs w:val="22"/>
        </w:rPr>
        <w:t>le</w:t>
      </w:r>
      <w:r w:rsidRPr="00C47D66">
        <w:rPr>
          <w:rFonts w:ascii="Calibri" w:hAnsi="Calibri" w:cs="Calibri"/>
          <w:sz w:val="22"/>
          <w:szCs w:val="22"/>
        </w:rPr>
        <w:t xml:space="preserve"> </w:t>
      </w:r>
      <w:r w:rsidRPr="00C47D66">
        <w:rPr>
          <w:rFonts w:ascii="Calibri" w:hAnsi="Calibri" w:cs="Calibri"/>
          <w:b/>
          <w:bCs/>
          <w:sz w:val="22"/>
          <w:szCs w:val="22"/>
        </w:rPr>
        <w:t>sarde</w:t>
      </w:r>
      <w:r w:rsidRPr="00C47D66">
        <w:rPr>
          <w:rFonts w:ascii="Calibri" w:hAnsi="Calibri" w:cs="Calibri"/>
          <w:sz w:val="22"/>
          <w:szCs w:val="22"/>
        </w:rPr>
        <w:t xml:space="preserve"> (+27,1%)</w:t>
      </w:r>
      <w:r>
        <w:rPr>
          <w:rFonts w:ascii="Calibri" w:hAnsi="Calibri" w:cs="Calibri"/>
          <w:sz w:val="22"/>
          <w:szCs w:val="22"/>
        </w:rPr>
        <w:t xml:space="preserve">, le </w:t>
      </w:r>
      <w:r w:rsidRPr="00C47D66">
        <w:rPr>
          <w:rFonts w:ascii="Calibri" w:hAnsi="Calibri" w:cs="Calibri"/>
          <w:b/>
          <w:bCs/>
          <w:sz w:val="22"/>
          <w:szCs w:val="22"/>
        </w:rPr>
        <w:t>spigole</w:t>
      </w:r>
      <w:r w:rsidRPr="00C47D66">
        <w:rPr>
          <w:rFonts w:ascii="Calibri" w:hAnsi="Calibri" w:cs="Calibri"/>
          <w:sz w:val="22"/>
          <w:szCs w:val="22"/>
        </w:rPr>
        <w:t xml:space="preserve"> (+21,3%)</w:t>
      </w:r>
      <w:r>
        <w:rPr>
          <w:rFonts w:ascii="Calibri" w:hAnsi="Calibri" w:cs="Calibri"/>
          <w:sz w:val="22"/>
          <w:szCs w:val="22"/>
        </w:rPr>
        <w:t xml:space="preserve">, i </w:t>
      </w:r>
      <w:r w:rsidR="00F5638B" w:rsidRPr="00C47D66">
        <w:rPr>
          <w:rFonts w:ascii="Calibri" w:hAnsi="Calibri" w:cs="Calibri"/>
          <w:b/>
          <w:bCs/>
          <w:sz w:val="22"/>
          <w:szCs w:val="22"/>
        </w:rPr>
        <w:t xml:space="preserve">calamari </w:t>
      </w:r>
      <w:r w:rsidR="00F5638B" w:rsidRPr="00C47D66">
        <w:rPr>
          <w:rFonts w:ascii="Calibri" w:hAnsi="Calibri" w:cs="Calibri"/>
          <w:sz w:val="22"/>
          <w:szCs w:val="22"/>
        </w:rPr>
        <w:t>(+16,5%)</w:t>
      </w:r>
      <w:r w:rsidR="00F5638B">
        <w:rPr>
          <w:rFonts w:ascii="Calibri" w:hAnsi="Calibri" w:cs="Calibri"/>
          <w:sz w:val="22"/>
          <w:szCs w:val="22"/>
        </w:rPr>
        <w:t xml:space="preserve"> e il </w:t>
      </w:r>
      <w:r w:rsidR="00BE224B" w:rsidRPr="00C47D66">
        <w:rPr>
          <w:rFonts w:ascii="Calibri" w:hAnsi="Calibri" w:cs="Calibri"/>
          <w:b/>
          <w:bCs/>
          <w:sz w:val="22"/>
          <w:szCs w:val="22"/>
        </w:rPr>
        <w:t>baccalà secco</w:t>
      </w:r>
      <w:r w:rsidR="00BE224B" w:rsidRPr="00C47D66">
        <w:rPr>
          <w:rFonts w:ascii="Calibri" w:hAnsi="Calibri" w:cs="Calibri"/>
          <w:sz w:val="22"/>
          <w:szCs w:val="22"/>
        </w:rPr>
        <w:t xml:space="preserve"> (+24,4%)</w:t>
      </w:r>
      <w:r w:rsidR="00BE224B">
        <w:rPr>
          <w:rFonts w:ascii="Calibri" w:hAnsi="Calibri" w:cs="Calibri"/>
          <w:sz w:val="22"/>
          <w:szCs w:val="22"/>
        </w:rPr>
        <w:t>.</w:t>
      </w:r>
    </w:p>
    <w:bookmarkEnd w:id="4"/>
    <w:p w14:paraId="406955F1" w14:textId="77777777" w:rsidR="008E75C6" w:rsidRPr="00434150" w:rsidRDefault="008E75C6" w:rsidP="00850EF3">
      <w:pPr>
        <w:pStyle w:val="Stile1"/>
        <w:spacing w:after="0"/>
        <w:rPr>
          <w:rFonts w:asciiTheme="minorHAnsi" w:hAnsiTheme="minorHAnsi" w:cstheme="minorHAnsi"/>
        </w:rPr>
      </w:pPr>
    </w:p>
    <w:sectPr w:rsidR="008E75C6" w:rsidRPr="00434150" w:rsidSect="00785C8D">
      <w:footerReference w:type="default" r:id="rId9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D4A5" w14:textId="77777777" w:rsidR="00E5371D" w:rsidRDefault="00E5371D">
      <w:r>
        <w:separator/>
      </w:r>
    </w:p>
  </w:endnote>
  <w:endnote w:type="continuationSeparator" w:id="0">
    <w:p w14:paraId="5AC2C881" w14:textId="77777777" w:rsidR="00E5371D" w:rsidRDefault="00E5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7543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14:paraId="1F8463E8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34F98995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14:paraId="641FEBD9" w14:textId="77777777"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r w:rsidR="00000000">
      <w:fldChar w:fldCharType="begin"/>
    </w:r>
    <w:r w:rsidR="00000000" w:rsidRPr="00062116">
      <w:rPr>
        <w:lang w:val="en-US"/>
      </w:rPr>
      <w:instrText>HYPERLINK "http://www.unioncamere.gov.it"</w:instrText>
    </w:r>
    <w:r w:rsidR="00000000">
      <w:fldChar w:fldCharType="separate"/>
    </w:r>
    <w:r w:rsidR="00533795" w:rsidRPr="008F166A">
      <w:rPr>
        <w:lang w:val="en-GB"/>
      </w:rPr>
      <w:t>www.unioncamere.gov.it</w:t>
    </w:r>
    <w:r w:rsidR="00000000">
      <w:rPr>
        <w:lang w:val="en-GB"/>
      </w:rPr>
      <w:fldChar w:fldCharType="end"/>
    </w:r>
    <w:r w:rsidR="00533795"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="00533795"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37A7D20D" w14:textId="77777777"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2507" w14:textId="77777777" w:rsidR="00E5371D" w:rsidRDefault="00E5371D">
      <w:r>
        <w:separator/>
      </w:r>
    </w:p>
  </w:footnote>
  <w:footnote w:type="continuationSeparator" w:id="0">
    <w:p w14:paraId="352CE113" w14:textId="77777777" w:rsidR="00E5371D" w:rsidRDefault="00E5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9.45pt;height:49.45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010909509">
    <w:abstractNumId w:val="2"/>
  </w:num>
  <w:num w:numId="2" w16cid:durableId="1594969296">
    <w:abstractNumId w:val="1"/>
  </w:num>
  <w:num w:numId="3" w16cid:durableId="17154946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66C"/>
    <w:rsid w:val="0003772E"/>
    <w:rsid w:val="00041FB3"/>
    <w:rsid w:val="00043006"/>
    <w:rsid w:val="00047C18"/>
    <w:rsid w:val="00050877"/>
    <w:rsid w:val="00052BE9"/>
    <w:rsid w:val="000533F9"/>
    <w:rsid w:val="000545C2"/>
    <w:rsid w:val="0005535F"/>
    <w:rsid w:val="00057783"/>
    <w:rsid w:val="000614B3"/>
    <w:rsid w:val="00062116"/>
    <w:rsid w:val="00065EAB"/>
    <w:rsid w:val="00066E10"/>
    <w:rsid w:val="00067432"/>
    <w:rsid w:val="0007352A"/>
    <w:rsid w:val="000742A4"/>
    <w:rsid w:val="00093073"/>
    <w:rsid w:val="000937E0"/>
    <w:rsid w:val="0009465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B6F16"/>
    <w:rsid w:val="000C0D10"/>
    <w:rsid w:val="000C18FE"/>
    <w:rsid w:val="000C1F1E"/>
    <w:rsid w:val="000C48B9"/>
    <w:rsid w:val="000C5465"/>
    <w:rsid w:val="000C5E21"/>
    <w:rsid w:val="000C5E76"/>
    <w:rsid w:val="000C69FE"/>
    <w:rsid w:val="000D0D29"/>
    <w:rsid w:val="000D0FA1"/>
    <w:rsid w:val="000D1FBA"/>
    <w:rsid w:val="000D37E5"/>
    <w:rsid w:val="000D4153"/>
    <w:rsid w:val="000D4272"/>
    <w:rsid w:val="000D70D1"/>
    <w:rsid w:val="000D7177"/>
    <w:rsid w:val="000D755A"/>
    <w:rsid w:val="000D7AF4"/>
    <w:rsid w:val="000E2080"/>
    <w:rsid w:val="000E3CF5"/>
    <w:rsid w:val="000E4A2D"/>
    <w:rsid w:val="000E669F"/>
    <w:rsid w:val="000E6FE3"/>
    <w:rsid w:val="000E7BDB"/>
    <w:rsid w:val="000F1AC0"/>
    <w:rsid w:val="000F2C36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0BF3"/>
    <w:rsid w:val="00161FA2"/>
    <w:rsid w:val="00163327"/>
    <w:rsid w:val="0016716A"/>
    <w:rsid w:val="00167B1C"/>
    <w:rsid w:val="001718AA"/>
    <w:rsid w:val="00171B3F"/>
    <w:rsid w:val="00171E7C"/>
    <w:rsid w:val="00172A83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A50D9"/>
    <w:rsid w:val="001B6D77"/>
    <w:rsid w:val="001B7EA3"/>
    <w:rsid w:val="001C16A7"/>
    <w:rsid w:val="001C1EF3"/>
    <w:rsid w:val="001C2EE7"/>
    <w:rsid w:val="001C3DD0"/>
    <w:rsid w:val="001C6F4C"/>
    <w:rsid w:val="001D119E"/>
    <w:rsid w:val="001D47A6"/>
    <w:rsid w:val="001E1AC8"/>
    <w:rsid w:val="001E2A46"/>
    <w:rsid w:val="001E722A"/>
    <w:rsid w:val="001F06C2"/>
    <w:rsid w:val="001F1DD4"/>
    <w:rsid w:val="001F4790"/>
    <w:rsid w:val="001F4B6B"/>
    <w:rsid w:val="001F6734"/>
    <w:rsid w:val="00204651"/>
    <w:rsid w:val="002049DF"/>
    <w:rsid w:val="00204FD5"/>
    <w:rsid w:val="00210367"/>
    <w:rsid w:val="00211D1B"/>
    <w:rsid w:val="00212CA2"/>
    <w:rsid w:val="00213423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0FFA"/>
    <w:rsid w:val="0025309C"/>
    <w:rsid w:val="0025473B"/>
    <w:rsid w:val="00254A4D"/>
    <w:rsid w:val="00254D95"/>
    <w:rsid w:val="002604CB"/>
    <w:rsid w:val="00263A51"/>
    <w:rsid w:val="00264439"/>
    <w:rsid w:val="0026580C"/>
    <w:rsid w:val="002664A3"/>
    <w:rsid w:val="00267440"/>
    <w:rsid w:val="0027205F"/>
    <w:rsid w:val="00272216"/>
    <w:rsid w:val="00281E9E"/>
    <w:rsid w:val="002826D4"/>
    <w:rsid w:val="00283E30"/>
    <w:rsid w:val="002842EE"/>
    <w:rsid w:val="002848E2"/>
    <w:rsid w:val="002911A9"/>
    <w:rsid w:val="00292ED5"/>
    <w:rsid w:val="002A3E6B"/>
    <w:rsid w:val="002A7DE5"/>
    <w:rsid w:val="002A7F4E"/>
    <w:rsid w:val="002B31E0"/>
    <w:rsid w:val="002B506B"/>
    <w:rsid w:val="002B7163"/>
    <w:rsid w:val="002B7C00"/>
    <w:rsid w:val="002C17D8"/>
    <w:rsid w:val="002C1E20"/>
    <w:rsid w:val="002C7AC1"/>
    <w:rsid w:val="002D4193"/>
    <w:rsid w:val="002E4F63"/>
    <w:rsid w:val="002E5739"/>
    <w:rsid w:val="002E6027"/>
    <w:rsid w:val="002E62C2"/>
    <w:rsid w:val="002E7FA5"/>
    <w:rsid w:val="002F72CE"/>
    <w:rsid w:val="00300140"/>
    <w:rsid w:val="0030352A"/>
    <w:rsid w:val="00307330"/>
    <w:rsid w:val="003156F3"/>
    <w:rsid w:val="00316CEA"/>
    <w:rsid w:val="00320C85"/>
    <w:rsid w:val="00324DC5"/>
    <w:rsid w:val="00324DFB"/>
    <w:rsid w:val="00326E34"/>
    <w:rsid w:val="0033356C"/>
    <w:rsid w:val="00335E24"/>
    <w:rsid w:val="003403AC"/>
    <w:rsid w:val="003415A8"/>
    <w:rsid w:val="00344D91"/>
    <w:rsid w:val="003451D1"/>
    <w:rsid w:val="00353FD8"/>
    <w:rsid w:val="003702FD"/>
    <w:rsid w:val="00373F55"/>
    <w:rsid w:val="003751BB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C0525"/>
    <w:rsid w:val="003C29FF"/>
    <w:rsid w:val="003D0F8B"/>
    <w:rsid w:val="003D42B4"/>
    <w:rsid w:val="003D6009"/>
    <w:rsid w:val="003E0B48"/>
    <w:rsid w:val="003E1650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C0C"/>
    <w:rsid w:val="00415AF1"/>
    <w:rsid w:val="00424B88"/>
    <w:rsid w:val="00434150"/>
    <w:rsid w:val="0043471E"/>
    <w:rsid w:val="004369ED"/>
    <w:rsid w:val="00437632"/>
    <w:rsid w:val="00446375"/>
    <w:rsid w:val="004510B3"/>
    <w:rsid w:val="0045368A"/>
    <w:rsid w:val="00453D90"/>
    <w:rsid w:val="00462B21"/>
    <w:rsid w:val="00467345"/>
    <w:rsid w:val="00471A94"/>
    <w:rsid w:val="00475936"/>
    <w:rsid w:val="00475B6C"/>
    <w:rsid w:val="004764FA"/>
    <w:rsid w:val="00495EA8"/>
    <w:rsid w:val="004965EF"/>
    <w:rsid w:val="00497008"/>
    <w:rsid w:val="004A4393"/>
    <w:rsid w:val="004A6843"/>
    <w:rsid w:val="004B5426"/>
    <w:rsid w:val="004B7238"/>
    <w:rsid w:val="004C127C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4341"/>
    <w:rsid w:val="005150FF"/>
    <w:rsid w:val="00522A2C"/>
    <w:rsid w:val="00526B59"/>
    <w:rsid w:val="00527CFE"/>
    <w:rsid w:val="005312B1"/>
    <w:rsid w:val="00531577"/>
    <w:rsid w:val="00533795"/>
    <w:rsid w:val="005352B0"/>
    <w:rsid w:val="00536A0E"/>
    <w:rsid w:val="00536CBE"/>
    <w:rsid w:val="00536DA7"/>
    <w:rsid w:val="005406F0"/>
    <w:rsid w:val="005524CF"/>
    <w:rsid w:val="00554CFC"/>
    <w:rsid w:val="00555510"/>
    <w:rsid w:val="005572D0"/>
    <w:rsid w:val="00557412"/>
    <w:rsid w:val="00560A21"/>
    <w:rsid w:val="00566EE8"/>
    <w:rsid w:val="00571646"/>
    <w:rsid w:val="00572851"/>
    <w:rsid w:val="00575C46"/>
    <w:rsid w:val="005830A3"/>
    <w:rsid w:val="0058333A"/>
    <w:rsid w:val="005922F2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2C6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6E07"/>
    <w:rsid w:val="006272E3"/>
    <w:rsid w:val="00630F89"/>
    <w:rsid w:val="0063223A"/>
    <w:rsid w:val="00632788"/>
    <w:rsid w:val="00632FC3"/>
    <w:rsid w:val="00635122"/>
    <w:rsid w:val="00644253"/>
    <w:rsid w:val="00647ABF"/>
    <w:rsid w:val="00654454"/>
    <w:rsid w:val="006544F7"/>
    <w:rsid w:val="00654852"/>
    <w:rsid w:val="00654FF7"/>
    <w:rsid w:val="006560E3"/>
    <w:rsid w:val="006620B5"/>
    <w:rsid w:val="00664AE1"/>
    <w:rsid w:val="00666789"/>
    <w:rsid w:val="00667FF4"/>
    <w:rsid w:val="00672B82"/>
    <w:rsid w:val="00680692"/>
    <w:rsid w:val="00697C9E"/>
    <w:rsid w:val="006A1347"/>
    <w:rsid w:val="006A2360"/>
    <w:rsid w:val="006A3408"/>
    <w:rsid w:val="006A678F"/>
    <w:rsid w:val="006B0E7E"/>
    <w:rsid w:val="006B106A"/>
    <w:rsid w:val="006B2ECB"/>
    <w:rsid w:val="006B31AA"/>
    <w:rsid w:val="006B5691"/>
    <w:rsid w:val="006B67D9"/>
    <w:rsid w:val="006B683F"/>
    <w:rsid w:val="006B6D71"/>
    <w:rsid w:val="006C13B7"/>
    <w:rsid w:val="006C1C15"/>
    <w:rsid w:val="006C1CD6"/>
    <w:rsid w:val="006C3D08"/>
    <w:rsid w:val="006C4053"/>
    <w:rsid w:val="006C5714"/>
    <w:rsid w:val="006D1DDB"/>
    <w:rsid w:val="006D3554"/>
    <w:rsid w:val="006E2167"/>
    <w:rsid w:val="006E2DE2"/>
    <w:rsid w:val="006E54EE"/>
    <w:rsid w:val="006E6578"/>
    <w:rsid w:val="006F30B8"/>
    <w:rsid w:val="006F36E1"/>
    <w:rsid w:val="006F7E0E"/>
    <w:rsid w:val="0070168B"/>
    <w:rsid w:val="00702843"/>
    <w:rsid w:val="00702E5B"/>
    <w:rsid w:val="00703D43"/>
    <w:rsid w:val="00712154"/>
    <w:rsid w:val="00713035"/>
    <w:rsid w:val="00713DDA"/>
    <w:rsid w:val="00714DB3"/>
    <w:rsid w:val="00717DEE"/>
    <w:rsid w:val="00722F9C"/>
    <w:rsid w:val="00725433"/>
    <w:rsid w:val="0072636C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5437"/>
    <w:rsid w:val="00796D9A"/>
    <w:rsid w:val="00797459"/>
    <w:rsid w:val="00797F95"/>
    <w:rsid w:val="007A3297"/>
    <w:rsid w:val="007A5A85"/>
    <w:rsid w:val="007A69BE"/>
    <w:rsid w:val="007A6C4D"/>
    <w:rsid w:val="007B065C"/>
    <w:rsid w:val="007B16F4"/>
    <w:rsid w:val="007B23C3"/>
    <w:rsid w:val="007B3113"/>
    <w:rsid w:val="007B4CE8"/>
    <w:rsid w:val="007C3477"/>
    <w:rsid w:val="007C532F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32013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665C9"/>
    <w:rsid w:val="008721A4"/>
    <w:rsid w:val="00873DC0"/>
    <w:rsid w:val="008833B1"/>
    <w:rsid w:val="008846F1"/>
    <w:rsid w:val="00890B97"/>
    <w:rsid w:val="00892D87"/>
    <w:rsid w:val="00892E68"/>
    <w:rsid w:val="00893E33"/>
    <w:rsid w:val="00895290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166A"/>
    <w:rsid w:val="008F2997"/>
    <w:rsid w:val="00900438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3779A"/>
    <w:rsid w:val="0094186A"/>
    <w:rsid w:val="009533DE"/>
    <w:rsid w:val="009566D2"/>
    <w:rsid w:val="009566D3"/>
    <w:rsid w:val="009574B0"/>
    <w:rsid w:val="00957D76"/>
    <w:rsid w:val="009627F1"/>
    <w:rsid w:val="009643B9"/>
    <w:rsid w:val="00967041"/>
    <w:rsid w:val="00967AEF"/>
    <w:rsid w:val="00970E8C"/>
    <w:rsid w:val="00971F50"/>
    <w:rsid w:val="009749B6"/>
    <w:rsid w:val="0097786A"/>
    <w:rsid w:val="00977D74"/>
    <w:rsid w:val="00983723"/>
    <w:rsid w:val="0098431C"/>
    <w:rsid w:val="009865CB"/>
    <w:rsid w:val="00990344"/>
    <w:rsid w:val="00990ADC"/>
    <w:rsid w:val="009935BF"/>
    <w:rsid w:val="00993DBE"/>
    <w:rsid w:val="00997D99"/>
    <w:rsid w:val="009A1242"/>
    <w:rsid w:val="009A612E"/>
    <w:rsid w:val="009B29A8"/>
    <w:rsid w:val="009B3B0F"/>
    <w:rsid w:val="009C66A3"/>
    <w:rsid w:val="009D001D"/>
    <w:rsid w:val="009D5849"/>
    <w:rsid w:val="009D71EA"/>
    <w:rsid w:val="009E0C72"/>
    <w:rsid w:val="009E193A"/>
    <w:rsid w:val="009E314A"/>
    <w:rsid w:val="009E4231"/>
    <w:rsid w:val="009E5D34"/>
    <w:rsid w:val="009E75AF"/>
    <w:rsid w:val="009F62C3"/>
    <w:rsid w:val="009F62D8"/>
    <w:rsid w:val="00A01C32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4B9D"/>
    <w:rsid w:val="00A5734F"/>
    <w:rsid w:val="00A6237B"/>
    <w:rsid w:val="00A63ABE"/>
    <w:rsid w:val="00A72E33"/>
    <w:rsid w:val="00A756B4"/>
    <w:rsid w:val="00A84003"/>
    <w:rsid w:val="00A8523D"/>
    <w:rsid w:val="00A93ED2"/>
    <w:rsid w:val="00A9567C"/>
    <w:rsid w:val="00A95820"/>
    <w:rsid w:val="00AA641B"/>
    <w:rsid w:val="00AA6A8B"/>
    <w:rsid w:val="00AB28DD"/>
    <w:rsid w:val="00AB3539"/>
    <w:rsid w:val="00AC2C63"/>
    <w:rsid w:val="00AC3566"/>
    <w:rsid w:val="00AC48EB"/>
    <w:rsid w:val="00AD4F59"/>
    <w:rsid w:val="00AD565B"/>
    <w:rsid w:val="00AE1C04"/>
    <w:rsid w:val="00AE319A"/>
    <w:rsid w:val="00AE614F"/>
    <w:rsid w:val="00AE6432"/>
    <w:rsid w:val="00AE74D3"/>
    <w:rsid w:val="00AF1532"/>
    <w:rsid w:val="00AF241A"/>
    <w:rsid w:val="00AF73CA"/>
    <w:rsid w:val="00B004D6"/>
    <w:rsid w:val="00B05389"/>
    <w:rsid w:val="00B114F9"/>
    <w:rsid w:val="00B13608"/>
    <w:rsid w:val="00B14225"/>
    <w:rsid w:val="00B151BA"/>
    <w:rsid w:val="00B26FF3"/>
    <w:rsid w:val="00B338C2"/>
    <w:rsid w:val="00B3577E"/>
    <w:rsid w:val="00B40243"/>
    <w:rsid w:val="00B4150A"/>
    <w:rsid w:val="00B46FF8"/>
    <w:rsid w:val="00B50CB1"/>
    <w:rsid w:val="00B52B31"/>
    <w:rsid w:val="00B56BAE"/>
    <w:rsid w:val="00B60FF4"/>
    <w:rsid w:val="00B61F21"/>
    <w:rsid w:val="00B6381C"/>
    <w:rsid w:val="00B639D0"/>
    <w:rsid w:val="00B73230"/>
    <w:rsid w:val="00B74A1A"/>
    <w:rsid w:val="00B75063"/>
    <w:rsid w:val="00B77591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4124"/>
    <w:rsid w:val="00BB63ED"/>
    <w:rsid w:val="00BB643E"/>
    <w:rsid w:val="00BC5D39"/>
    <w:rsid w:val="00BC64D2"/>
    <w:rsid w:val="00BC76D4"/>
    <w:rsid w:val="00BD162D"/>
    <w:rsid w:val="00BD6A2D"/>
    <w:rsid w:val="00BE224B"/>
    <w:rsid w:val="00BE7ED1"/>
    <w:rsid w:val="00BF0D54"/>
    <w:rsid w:val="00BF4FD0"/>
    <w:rsid w:val="00C00FD5"/>
    <w:rsid w:val="00C01C86"/>
    <w:rsid w:val="00C10CD0"/>
    <w:rsid w:val="00C25359"/>
    <w:rsid w:val="00C27FE1"/>
    <w:rsid w:val="00C30181"/>
    <w:rsid w:val="00C314D1"/>
    <w:rsid w:val="00C332C6"/>
    <w:rsid w:val="00C34991"/>
    <w:rsid w:val="00C35F55"/>
    <w:rsid w:val="00C40360"/>
    <w:rsid w:val="00C41C26"/>
    <w:rsid w:val="00C42D50"/>
    <w:rsid w:val="00C4458F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D50"/>
    <w:rsid w:val="00C76CE8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2911"/>
    <w:rsid w:val="00CA31DB"/>
    <w:rsid w:val="00CA3CB5"/>
    <w:rsid w:val="00CA5984"/>
    <w:rsid w:val="00CA7779"/>
    <w:rsid w:val="00CA78B1"/>
    <w:rsid w:val="00CB392C"/>
    <w:rsid w:val="00CB7314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CF3136"/>
    <w:rsid w:val="00D01F62"/>
    <w:rsid w:val="00D053DE"/>
    <w:rsid w:val="00D05E48"/>
    <w:rsid w:val="00D10C49"/>
    <w:rsid w:val="00D12C37"/>
    <w:rsid w:val="00D212D1"/>
    <w:rsid w:val="00D21833"/>
    <w:rsid w:val="00D21A3C"/>
    <w:rsid w:val="00D22EBA"/>
    <w:rsid w:val="00D2375D"/>
    <w:rsid w:val="00D24843"/>
    <w:rsid w:val="00D338CA"/>
    <w:rsid w:val="00D33973"/>
    <w:rsid w:val="00D4314C"/>
    <w:rsid w:val="00D44BD9"/>
    <w:rsid w:val="00D54EF7"/>
    <w:rsid w:val="00D56A61"/>
    <w:rsid w:val="00D56FF6"/>
    <w:rsid w:val="00D6251C"/>
    <w:rsid w:val="00D67A3C"/>
    <w:rsid w:val="00D7350E"/>
    <w:rsid w:val="00D74A15"/>
    <w:rsid w:val="00D8024E"/>
    <w:rsid w:val="00D838F2"/>
    <w:rsid w:val="00D854C6"/>
    <w:rsid w:val="00D85E26"/>
    <w:rsid w:val="00D8691F"/>
    <w:rsid w:val="00D96A74"/>
    <w:rsid w:val="00DA3569"/>
    <w:rsid w:val="00DB6EBF"/>
    <w:rsid w:val="00DD611D"/>
    <w:rsid w:val="00DE0F1C"/>
    <w:rsid w:val="00DE1B7D"/>
    <w:rsid w:val="00DE4814"/>
    <w:rsid w:val="00DE656F"/>
    <w:rsid w:val="00DE76BA"/>
    <w:rsid w:val="00DF358A"/>
    <w:rsid w:val="00DF4407"/>
    <w:rsid w:val="00DF47D3"/>
    <w:rsid w:val="00DF7A7A"/>
    <w:rsid w:val="00E0199A"/>
    <w:rsid w:val="00E01B2E"/>
    <w:rsid w:val="00E0232E"/>
    <w:rsid w:val="00E04CDB"/>
    <w:rsid w:val="00E06CB0"/>
    <w:rsid w:val="00E11354"/>
    <w:rsid w:val="00E1491F"/>
    <w:rsid w:val="00E17B1C"/>
    <w:rsid w:val="00E24C31"/>
    <w:rsid w:val="00E33AEF"/>
    <w:rsid w:val="00E371D3"/>
    <w:rsid w:val="00E40377"/>
    <w:rsid w:val="00E40976"/>
    <w:rsid w:val="00E448FD"/>
    <w:rsid w:val="00E50532"/>
    <w:rsid w:val="00E506AB"/>
    <w:rsid w:val="00E525B5"/>
    <w:rsid w:val="00E5371D"/>
    <w:rsid w:val="00E54A6A"/>
    <w:rsid w:val="00E55F72"/>
    <w:rsid w:val="00E579FE"/>
    <w:rsid w:val="00E706F6"/>
    <w:rsid w:val="00E76281"/>
    <w:rsid w:val="00E775D9"/>
    <w:rsid w:val="00E805FA"/>
    <w:rsid w:val="00E87597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247"/>
    <w:rsid w:val="00EC251C"/>
    <w:rsid w:val="00ED28DE"/>
    <w:rsid w:val="00ED2A78"/>
    <w:rsid w:val="00ED58E3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2601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5638B"/>
    <w:rsid w:val="00F61A3A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97423"/>
    <w:rsid w:val="00FA7F8B"/>
    <w:rsid w:val="00FB44F5"/>
    <w:rsid w:val="00FB4B98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271F"/>
    <w:rsid w:val="00FE31EA"/>
    <w:rsid w:val="00FE5C13"/>
    <w:rsid w:val="00FE798A"/>
    <w:rsid w:val="00FE7E09"/>
    <w:rsid w:val="00FF0DCC"/>
    <w:rsid w:val="00FF16D7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B307D"/>
  <w15:docId w15:val="{AF7E629D-C551-4860-A130-EBBB297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  <w:style w:type="paragraph" w:customStyle="1" w:styleId="Default">
    <w:name w:val="Default"/>
    <w:rsid w:val="00AB28D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3033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Microsoft Office User</cp:lastModifiedBy>
  <cp:revision>2</cp:revision>
  <cp:lastPrinted>2020-12-23T09:54:00Z</cp:lastPrinted>
  <dcterms:created xsi:type="dcterms:W3CDTF">2024-05-27T08:12:00Z</dcterms:created>
  <dcterms:modified xsi:type="dcterms:W3CDTF">2024-05-27T08:12:00Z</dcterms:modified>
</cp:coreProperties>
</file>