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983" w:rsidRDefault="00472983">
      <w:pPr>
        <w:rPr>
          <w:rFonts w:ascii="Trebuchet MS" w:hAnsi="Trebuchet MS" w:cs="Arial"/>
          <w:lang w:val="it-IT"/>
        </w:rPr>
      </w:pPr>
      <w:bookmarkStart w:id="0" w:name="GiaEsiste"/>
      <w:bookmarkEnd w:id="0"/>
    </w:p>
    <w:tbl>
      <w:tblPr>
        <w:tblW w:w="0" w:type="auto"/>
        <w:tblLayout w:type="fixed"/>
        <w:tblLook w:val="0000" w:firstRow="0" w:lastRow="0" w:firstColumn="0" w:lastColumn="0" w:noHBand="0" w:noVBand="0"/>
      </w:tblPr>
      <w:tblGrid>
        <w:gridCol w:w="10188"/>
      </w:tblGrid>
      <w:tr w:rsidR="00472983">
        <w:tblPrEx>
          <w:tblCellMar>
            <w:top w:w="0" w:type="dxa"/>
            <w:bottom w:w="0" w:type="dxa"/>
          </w:tblCellMar>
        </w:tblPrEx>
        <w:tc>
          <w:tcPr>
            <w:tcW w:w="10188" w:type="dxa"/>
          </w:tcPr>
          <w:p w:rsidR="00472983" w:rsidRDefault="00472983">
            <w:pPr>
              <w:rPr>
                <w:rFonts w:ascii="Trebuchet MS" w:hAnsi="Trebuchet MS" w:cs="Arial"/>
                <w:b/>
                <w:sz w:val="28"/>
                <w:szCs w:val="28"/>
                <w:u w:val="single"/>
                <w:lang w:val="it-IT"/>
              </w:rPr>
            </w:pPr>
            <w:r>
              <w:rPr>
                <w:rFonts w:ascii="Trebuchet MS" w:hAnsi="Trebuchet MS" w:cs="Arial"/>
                <w:b/>
                <w:sz w:val="28"/>
                <w:szCs w:val="28"/>
                <w:u w:val="single"/>
                <w:lang w:val="it-IT"/>
              </w:rPr>
              <w:t>DETERMINAZIONE SEGRETARIO GENERALE  N.423 DEL 25 OTTOBRE 2021</w:t>
            </w:r>
            <w:bookmarkStart w:id="1" w:name="DtNumerazione"/>
            <w:bookmarkEnd w:id="1"/>
          </w:p>
          <w:p w:rsidR="00472983" w:rsidRDefault="00472983">
            <w:pPr>
              <w:rPr>
                <w:rFonts w:ascii="Trebuchet MS" w:hAnsi="Trebuchet MS" w:cs="Arial"/>
                <w:b/>
                <w:sz w:val="28"/>
                <w:szCs w:val="28"/>
                <w:u w:val="single"/>
                <w:lang w:val="it-IT"/>
              </w:rPr>
            </w:pPr>
          </w:p>
        </w:tc>
      </w:tr>
      <w:tr w:rsidR="00472983">
        <w:tblPrEx>
          <w:tblCellMar>
            <w:top w:w="0" w:type="dxa"/>
            <w:bottom w:w="0" w:type="dxa"/>
          </w:tblCellMar>
        </w:tblPrEx>
        <w:tc>
          <w:tcPr>
            <w:tcW w:w="10188" w:type="dxa"/>
          </w:tcPr>
          <w:p w:rsidR="00472983" w:rsidRDefault="00472983">
            <w:pPr>
              <w:rPr>
                <w:rFonts w:ascii="Trebuchet MS" w:hAnsi="Trebuchet MS" w:cs="Arial"/>
                <w:b/>
                <w:sz w:val="28"/>
                <w:szCs w:val="28"/>
                <w:lang w:val="it-IT"/>
              </w:rPr>
            </w:pPr>
            <w:r>
              <w:rPr>
                <w:rFonts w:ascii="Trebuchet MS" w:hAnsi="Trebuchet MS" w:cs="Arial"/>
                <w:b/>
                <w:sz w:val="28"/>
                <w:szCs w:val="28"/>
                <w:lang w:val="it-IT"/>
              </w:rPr>
              <w:t>OGGETTO:</w:t>
            </w:r>
            <w:r>
              <w:rPr>
                <w:rFonts w:ascii="Trebuchet MS" w:hAnsi="Trebuchet MS" w:cs="Arial"/>
                <w:sz w:val="28"/>
                <w:szCs w:val="28"/>
                <w:lang w:val="it-IT"/>
              </w:rPr>
              <w:t xml:space="preserve"> </w:t>
            </w:r>
            <w:bookmarkStart w:id="2" w:name="Oggetto1"/>
            <w:r>
              <w:rPr>
                <w:rFonts w:ascii="Trebuchet MS" w:hAnsi="Trebuchet MS" w:cs="Arial"/>
                <w:sz w:val="28"/>
                <w:szCs w:val="28"/>
                <w:lang w:val="it-IT"/>
              </w:rPr>
              <w:t>PROCEDURA AFFIDAMENTO PREVIA INDAGINE DI MERCATO, AI SENSI DELL’ART.36 – COMMA 2 – LETTERA A) E COMMA 6 DEL D.LGS. 50/2016, DEL SERVIZIO DI CATALOGAZIONE SBN WEB DELLA BIBLIOTECA “ANTONIO PASTORE” DELLA C.C.I.A.A. DI SALERNO – AGGIUDICAZIONE. </w:t>
            </w:r>
            <w:bookmarkEnd w:id="2"/>
          </w:p>
        </w:tc>
      </w:tr>
    </w:tbl>
    <w:p w:rsidR="00472983" w:rsidRDefault="00472983">
      <w:pPr>
        <w:rPr>
          <w:rFonts w:ascii="Trebuchet MS" w:hAnsi="Trebuchet MS" w:cs="Arial"/>
          <w:lang w:val="it-IT"/>
        </w:rPr>
      </w:pPr>
    </w:p>
    <w:p w:rsidR="00472983" w:rsidRDefault="00472983">
      <w:pPr>
        <w:rPr>
          <w:rFonts w:ascii="Trebuchet MS" w:hAnsi="Trebuchet MS" w:cs="Arial"/>
          <w:lang w:val="it-IT"/>
        </w:rPr>
        <w:sectPr w:rsidR="00472983">
          <w:headerReference w:type="first" r:id="rId7"/>
          <w:pgSz w:w="12240" w:h="15840" w:code="1"/>
          <w:pgMar w:top="567" w:right="1134" w:bottom="1134" w:left="1134" w:header="720" w:footer="720" w:gutter="0"/>
          <w:cols w:space="720"/>
          <w:titlePg/>
          <w:docGrid w:linePitch="360"/>
        </w:sectPr>
      </w:pPr>
    </w:p>
    <w:p w:rsidR="00472983" w:rsidRDefault="00472983">
      <w:pPr>
        <w:rPr>
          <w:rFonts w:ascii="Trebuchet MS" w:hAnsi="Trebuchet MS" w:cs="Arial"/>
          <w:lang w:val="it-IT"/>
        </w:rPr>
      </w:pPr>
      <w:bookmarkStart w:id="3" w:name="_GoBack"/>
      <w:bookmarkEnd w:id="3"/>
    </w:p>
    <w:p w:rsidR="00472983" w:rsidRDefault="00472983">
      <w:pPr>
        <w:tabs>
          <w:tab w:val="left" w:pos="4373"/>
        </w:tabs>
        <w:jc w:val="center"/>
        <w:rPr>
          <w:rFonts w:ascii="Trebuchet MS" w:hAnsi="Trebuchet MS" w:cs="Arial"/>
          <w:b/>
          <w:sz w:val="28"/>
          <w:szCs w:val="28"/>
          <w:lang w:val="it-IT"/>
        </w:rPr>
      </w:pPr>
      <w:r>
        <w:rPr>
          <w:rFonts w:ascii="Trebuchet MS" w:hAnsi="Trebuchet MS" w:cs="Arial"/>
          <w:b/>
          <w:sz w:val="28"/>
          <w:szCs w:val="28"/>
          <w:lang w:val="it-IT"/>
        </w:rPr>
        <w:t xml:space="preserve">IL SEGRETARIO GENERALE </w:t>
      </w:r>
    </w:p>
    <w:p w:rsidR="00472983" w:rsidRDefault="00472983">
      <w:pPr>
        <w:tabs>
          <w:tab w:val="left" w:pos="4373"/>
        </w:tabs>
        <w:jc w:val="center"/>
        <w:rPr>
          <w:rFonts w:ascii="Trebuchet MS" w:hAnsi="Trebuchet MS" w:cs="Arial"/>
          <w:b/>
          <w:sz w:val="28"/>
          <w:szCs w:val="28"/>
          <w:lang w:val="it-IT"/>
        </w:rPr>
      </w:pPr>
    </w:p>
    <w:p w:rsidR="00472983" w:rsidRDefault="00472983">
      <w:pPr>
        <w:tabs>
          <w:tab w:val="left" w:pos="4373"/>
        </w:tabs>
        <w:spacing w:before="100" w:beforeAutospacing="1" w:after="100" w:afterAutospacing="1"/>
        <w:jc w:val="both"/>
        <w:rPr>
          <w:rFonts w:ascii="Candara" w:hAnsi="Candara" w:cs="Arial"/>
          <w:lang w:val="it-IT"/>
        </w:rPr>
      </w:pPr>
      <w:r>
        <w:rPr>
          <w:rFonts w:ascii="Candara" w:hAnsi="Candara" w:cs="Arial"/>
          <w:lang w:val="it-IT"/>
        </w:rPr>
        <w:t>Visto l’art. 66 del Regolamento per il personale camerale, approvato con D.I.  12.7.1982, relativo alle attribuzioni del Segretario generale;</w:t>
      </w:r>
    </w:p>
    <w:p w:rsidR="00472983" w:rsidRDefault="00472983">
      <w:pPr>
        <w:tabs>
          <w:tab w:val="left" w:pos="4373"/>
        </w:tabs>
        <w:spacing w:before="100" w:beforeAutospacing="1" w:after="100" w:afterAutospacing="1"/>
        <w:jc w:val="both"/>
        <w:rPr>
          <w:rFonts w:ascii="Candara" w:hAnsi="Candara" w:cs="Arial"/>
          <w:lang w:val="it-IT"/>
        </w:rPr>
      </w:pPr>
      <w:r>
        <w:rPr>
          <w:rFonts w:ascii="Candara" w:hAnsi="Candara" w:cs="Arial"/>
          <w:lang w:val="it-IT"/>
        </w:rPr>
        <w:t>Vista la legge 7 agosto 1990, n. 241 e smi;</w:t>
      </w:r>
    </w:p>
    <w:p w:rsidR="00472983" w:rsidRDefault="00472983">
      <w:pPr>
        <w:tabs>
          <w:tab w:val="left" w:pos="4373"/>
        </w:tabs>
        <w:spacing w:before="100" w:beforeAutospacing="1" w:after="100" w:afterAutospacing="1"/>
        <w:jc w:val="both"/>
        <w:rPr>
          <w:rFonts w:ascii="Candara" w:hAnsi="Candara" w:cs="Arial"/>
          <w:lang w:val="it-IT"/>
        </w:rPr>
      </w:pPr>
      <w:r>
        <w:rPr>
          <w:rFonts w:ascii="Candara" w:hAnsi="Candara" w:cs="Arial"/>
          <w:lang w:val="it-IT"/>
        </w:rPr>
        <w:t>Vista la legge 29 dicembre 1993, n. 580 e smi dal D.lgs.219/2016;</w:t>
      </w:r>
    </w:p>
    <w:p w:rsidR="00472983" w:rsidRDefault="00472983">
      <w:pPr>
        <w:tabs>
          <w:tab w:val="left" w:pos="4373"/>
        </w:tabs>
        <w:spacing w:before="100" w:beforeAutospacing="1" w:after="100" w:afterAutospacing="1"/>
        <w:jc w:val="both"/>
        <w:rPr>
          <w:rFonts w:ascii="Candara" w:hAnsi="Candara" w:cs="Arial"/>
          <w:lang w:val="it-IT"/>
        </w:rPr>
      </w:pPr>
      <w:r>
        <w:rPr>
          <w:rFonts w:ascii="Candara" w:hAnsi="Candara" w:cs="Arial"/>
          <w:lang w:val="it-IT"/>
        </w:rPr>
        <w:t>Visto il D. Lgs. 30 marzo 2001, n. 165 e smi;</w:t>
      </w:r>
    </w:p>
    <w:p w:rsidR="00472983" w:rsidRDefault="00472983">
      <w:pPr>
        <w:tabs>
          <w:tab w:val="left" w:pos="4373"/>
        </w:tabs>
        <w:spacing w:before="100" w:beforeAutospacing="1" w:after="100" w:afterAutospacing="1"/>
        <w:jc w:val="both"/>
        <w:rPr>
          <w:rFonts w:ascii="Candara" w:hAnsi="Candara" w:cs="Arial"/>
          <w:lang w:val="it-IT"/>
        </w:rPr>
      </w:pPr>
      <w:r>
        <w:rPr>
          <w:rFonts w:ascii="Candara" w:hAnsi="Candara" w:cs="Arial"/>
          <w:lang w:val="it-IT"/>
        </w:rPr>
        <w:t>Visto il DPR 2 novembre 2005, n. 254;</w:t>
      </w:r>
    </w:p>
    <w:p w:rsidR="00472983" w:rsidRDefault="00472983">
      <w:pPr>
        <w:tabs>
          <w:tab w:val="left" w:pos="4373"/>
        </w:tabs>
        <w:spacing w:before="100" w:beforeAutospacing="1" w:after="100" w:afterAutospacing="1"/>
        <w:jc w:val="both"/>
        <w:rPr>
          <w:rFonts w:ascii="Candara" w:hAnsi="Candara" w:cs="Arial"/>
          <w:lang w:val="it-IT"/>
        </w:rPr>
      </w:pPr>
      <w:r>
        <w:rPr>
          <w:rFonts w:ascii="Candara" w:hAnsi="Candara" w:cs="Arial"/>
          <w:lang w:val="it-IT"/>
        </w:rPr>
        <w:t>Visto il D.M. Del 7 febbraio 2013 con il quale il sottoscritto è stato nominato Segretario Generale dell'Ente Camerale;</w:t>
      </w:r>
    </w:p>
    <w:p w:rsidR="00472983" w:rsidRDefault="00472983">
      <w:pPr>
        <w:tabs>
          <w:tab w:val="left" w:pos="4373"/>
        </w:tabs>
        <w:spacing w:before="100" w:beforeAutospacing="1" w:after="100" w:afterAutospacing="1"/>
        <w:jc w:val="both"/>
        <w:rPr>
          <w:rFonts w:ascii="Candara" w:hAnsi="Candara" w:cs="Arial"/>
          <w:lang w:val="it-IT"/>
        </w:rPr>
      </w:pPr>
      <w:r>
        <w:rPr>
          <w:rFonts w:ascii="Candara" w:hAnsi="Candara" w:cs="Arial"/>
          <w:lang w:val="it-IT"/>
        </w:rPr>
        <w:t>Vista la deliberazione n. 20 del 19 febbraio 2013 con la quale la Giunta Camerale ha preso atto del predetto decreto ed approvato lo schema di contratto di lavoro del Segretario Generale dell'Ente.</w:t>
      </w:r>
    </w:p>
    <w:p w:rsidR="00472983" w:rsidRDefault="00472983">
      <w:pPr>
        <w:pStyle w:val="NormaleWeb"/>
        <w:spacing w:after="100" w:afterAutospacing="1" w:line="240" w:lineRule="auto"/>
        <w:jc w:val="both"/>
        <w:rPr>
          <w:rFonts w:ascii="Candara" w:hAnsi="Candara"/>
          <w:color w:val="000000"/>
        </w:rPr>
      </w:pPr>
      <w:r>
        <w:rPr>
          <w:rFonts w:ascii="Candara" w:hAnsi="Candara"/>
          <w:color w:val="000000"/>
        </w:rPr>
        <w:t>Visto il D.M. Del 7 febbraio 2013 con il quale il sottoscritto è stato nominato Segretario Generale dell'Ente Camerale; </w:t>
      </w:r>
    </w:p>
    <w:p w:rsidR="00472983" w:rsidRDefault="00472983">
      <w:pPr>
        <w:pStyle w:val="NormaleWeb"/>
        <w:spacing w:after="100" w:afterAutospacing="1" w:line="240" w:lineRule="auto"/>
        <w:jc w:val="both"/>
        <w:rPr>
          <w:rFonts w:ascii="Candara" w:hAnsi="Candara"/>
        </w:rPr>
      </w:pPr>
      <w:r>
        <w:rPr>
          <w:rFonts w:ascii="Candara" w:hAnsi="Candara"/>
          <w:color w:val="000000"/>
        </w:rPr>
        <w:t>Vista la deliberazione n. 20 del 19 febbraio 2013 con la quale la Giunta Camerale ha preso atto del predetto decreto ed approvato lo schema di contratto di lavoro del Segretario Generale dell'Ente;</w:t>
      </w:r>
    </w:p>
    <w:p w:rsidR="00472983" w:rsidRDefault="00472983">
      <w:pPr>
        <w:pStyle w:val="NormaleWeb"/>
        <w:spacing w:after="100" w:afterAutospacing="1" w:line="240" w:lineRule="auto"/>
        <w:jc w:val="both"/>
        <w:rPr>
          <w:rFonts w:ascii="Candara" w:hAnsi="Candara"/>
        </w:rPr>
      </w:pPr>
      <w:r>
        <w:rPr>
          <w:rFonts w:ascii="Candara" w:hAnsi="Candara"/>
          <w:color w:val="000000"/>
        </w:rPr>
        <w:t>Vista, altresì, la deliberazione n. 77 del 18 novembre 2016, con la quale la Giunta camerale ha deciso di rinnovare, con decorrenza immediata, l’incarico del Segretario Generale;</w:t>
      </w:r>
    </w:p>
    <w:p w:rsidR="00472983" w:rsidRDefault="00472983">
      <w:pPr>
        <w:pStyle w:val="NormaleWeb"/>
        <w:spacing w:before="0" w:beforeAutospacing="0" w:after="0" w:line="240" w:lineRule="auto"/>
        <w:rPr>
          <w:rFonts w:ascii="Candara" w:hAnsi="Candara"/>
        </w:rPr>
      </w:pPr>
      <w:r>
        <w:rPr>
          <w:rFonts w:ascii="Candara" w:hAnsi="Candara"/>
          <w:color w:val="000000"/>
        </w:rPr>
        <w:t>Vista la deliberazione n. 12 del 6 marzo 2017 con la quale la Giunta camerale ha approvato l’assetto macro-organizzativo dell’Ente, così articolato: </w:t>
      </w:r>
    </w:p>
    <w:p w:rsidR="00472983" w:rsidRDefault="00472983">
      <w:pPr>
        <w:pStyle w:val="NormaleWeb"/>
        <w:spacing w:before="0" w:beforeAutospacing="0" w:after="0" w:line="240" w:lineRule="auto"/>
        <w:jc w:val="both"/>
        <w:rPr>
          <w:rFonts w:ascii="Candara" w:hAnsi="Candara"/>
        </w:rPr>
      </w:pPr>
      <w:r>
        <w:rPr>
          <w:rFonts w:ascii="Candara" w:hAnsi="Candara"/>
          <w:color w:val="000000"/>
        </w:rPr>
        <w:t>I. Area “Affari generali e gestione risorse umane”; </w:t>
      </w:r>
    </w:p>
    <w:p w:rsidR="00472983" w:rsidRDefault="00472983">
      <w:pPr>
        <w:pStyle w:val="NormaleWeb"/>
        <w:spacing w:before="0" w:beforeAutospacing="0" w:after="0" w:line="240" w:lineRule="auto"/>
        <w:jc w:val="both"/>
        <w:rPr>
          <w:rFonts w:ascii="Candara" w:hAnsi="Candara"/>
        </w:rPr>
      </w:pPr>
      <w:r>
        <w:rPr>
          <w:rFonts w:ascii="Candara" w:hAnsi="Candara"/>
          <w:color w:val="000000"/>
        </w:rPr>
        <w:t>II. Area “Finanze” </w:t>
      </w:r>
    </w:p>
    <w:p w:rsidR="00472983" w:rsidRDefault="00472983">
      <w:pPr>
        <w:pStyle w:val="NormaleWeb"/>
        <w:spacing w:before="0" w:beforeAutospacing="0" w:after="0" w:line="240" w:lineRule="auto"/>
        <w:jc w:val="both"/>
        <w:rPr>
          <w:rFonts w:ascii="Candara" w:hAnsi="Candara"/>
        </w:rPr>
      </w:pPr>
      <w:r>
        <w:rPr>
          <w:rFonts w:ascii="Candara" w:hAnsi="Candara"/>
          <w:color w:val="000000"/>
        </w:rPr>
        <w:t>III. Area “Anagrafe e patrimonio”; </w:t>
      </w:r>
    </w:p>
    <w:p w:rsidR="00472983" w:rsidRDefault="00472983">
      <w:pPr>
        <w:pStyle w:val="NormaleWeb"/>
        <w:spacing w:before="0" w:beforeAutospacing="0" w:after="0" w:line="240" w:lineRule="auto"/>
        <w:jc w:val="both"/>
        <w:rPr>
          <w:rFonts w:ascii="Candara" w:hAnsi="Candara"/>
        </w:rPr>
      </w:pPr>
      <w:r>
        <w:rPr>
          <w:rFonts w:ascii="Candara" w:hAnsi="Candara"/>
          <w:color w:val="000000"/>
        </w:rPr>
        <w:t>IV “Promozione economica - regolazione e tutela del mercato”; </w:t>
      </w:r>
    </w:p>
    <w:p w:rsidR="00472983" w:rsidRDefault="00472983">
      <w:pPr>
        <w:pStyle w:val="NormaleWeb"/>
        <w:spacing w:after="100" w:afterAutospacing="1" w:line="240" w:lineRule="auto"/>
        <w:jc w:val="both"/>
        <w:rPr>
          <w:rFonts w:ascii="Candara" w:hAnsi="Candara"/>
        </w:rPr>
      </w:pPr>
      <w:r>
        <w:rPr>
          <w:rFonts w:ascii="Candara" w:hAnsi="Candara"/>
          <w:color w:val="000000"/>
        </w:rPr>
        <w:lastRenderedPageBreak/>
        <w:t>Vista la deliberazione n. 9 del 13 settembre 2013, con la quale il Consiglio Camerale ha approvato il “Regolamento sull’ordinamento degli uffici e dei servizi “; </w:t>
      </w:r>
    </w:p>
    <w:p w:rsidR="00472983" w:rsidRDefault="00472983">
      <w:pPr>
        <w:pStyle w:val="NormaleWeb"/>
        <w:spacing w:after="100" w:afterAutospacing="1" w:line="240" w:lineRule="auto"/>
        <w:jc w:val="both"/>
        <w:rPr>
          <w:rFonts w:ascii="Candara" w:hAnsi="Candara"/>
        </w:rPr>
      </w:pPr>
      <w:r>
        <w:rPr>
          <w:rFonts w:ascii="Candara" w:hAnsi="Candara"/>
          <w:color w:val="000000"/>
        </w:rPr>
        <w:t>Vista la deliberazione n. 68 del 22 dicembre 2020 con la quale sono stati approvati i budget direzionali ex art. 8 del DPR 254/05 per l’esercizio 2021;</w:t>
      </w:r>
    </w:p>
    <w:p w:rsidR="00472983" w:rsidRDefault="00472983">
      <w:pPr>
        <w:pStyle w:val="NormaleWeb"/>
        <w:spacing w:after="100" w:afterAutospacing="1" w:line="240" w:lineRule="auto"/>
        <w:jc w:val="both"/>
        <w:rPr>
          <w:rFonts w:ascii="Candara" w:hAnsi="Candara"/>
        </w:rPr>
      </w:pPr>
      <w:r>
        <w:rPr>
          <w:rFonts w:ascii="Candara" w:hAnsi="Candara"/>
          <w:color w:val="000000"/>
        </w:rPr>
        <w:t>Vista la deliberazione del Consiglio camerale n.14 del 22 dicembre 2020 con la quale è stato approvato il preventivo economico 2021;</w:t>
      </w:r>
    </w:p>
    <w:p w:rsidR="00472983" w:rsidRDefault="00472983">
      <w:pPr>
        <w:pStyle w:val="NormaleWeb"/>
        <w:spacing w:after="100" w:afterAutospacing="1" w:line="240" w:lineRule="auto"/>
        <w:jc w:val="both"/>
        <w:rPr>
          <w:rFonts w:ascii="Candara" w:hAnsi="Candara"/>
        </w:rPr>
      </w:pPr>
      <w:r>
        <w:rPr>
          <w:rFonts w:ascii="Candara" w:hAnsi="Candara"/>
          <w:color w:val="000000"/>
        </w:rPr>
        <w:t>Vista la deliberazione della Giunta camerale n. 5 del 29 gennaio 2021, con la quale è stato approvato il “Piano delle Performance per gli anni 2021/2023”; </w:t>
      </w:r>
    </w:p>
    <w:p w:rsidR="00472983" w:rsidRDefault="00472983">
      <w:pPr>
        <w:pStyle w:val="NormaleWeb"/>
        <w:spacing w:after="100" w:afterAutospacing="1" w:line="240" w:lineRule="auto"/>
        <w:jc w:val="both"/>
        <w:rPr>
          <w:rFonts w:ascii="Candara" w:hAnsi="Candara"/>
        </w:rPr>
      </w:pPr>
      <w:r>
        <w:rPr>
          <w:rFonts w:ascii="Candara" w:hAnsi="Candara"/>
          <w:color w:val="000000"/>
        </w:rPr>
        <w:t>Vista la delibera di Giunta camerale n. 15 del 1° aprile 2021, con la quale è stato approvato il Piano di Prevenzione della Corruzione relativo al triennio 2021/2023; </w:t>
      </w:r>
    </w:p>
    <w:p w:rsidR="00472983" w:rsidRDefault="00472983">
      <w:pPr>
        <w:pStyle w:val="NormaleWeb"/>
        <w:spacing w:after="100" w:afterAutospacing="1" w:line="240" w:lineRule="auto"/>
        <w:jc w:val="both"/>
        <w:rPr>
          <w:rFonts w:ascii="Candara" w:hAnsi="Candara"/>
        </w:rPr>
      </w:pPr>
      <w:r>
        <w:rPr>
          <w:rFonts w:ascii="Candara" w:hAnsi="Candara"/>
          <w:color w:val="000000"/>
        </w:rPr>
        <w:t>Visto il D. Lgs 18 aprile 2016, n. 50, Attuazione delle Direttive 2014/23/UE, 2014/24/UE e 2014/25/UE sul riordino della disciplina vigente in materia di contratti pubblici relativi a lavori, servizi e forniture;</w:t>
      </w:r>
    </w:p>
    <w:p w:rsidR="00472983" w:rsidRDefault="00472983">
      <w:pPr>
        <w:pStyle w:val="NormaleWeb"/>
        <w:spacing w:after="100" w:afterAutospacing="1" w:line="240" w:lineRule="auto"/>
        <w:jc w:val="both"/>
        <w:rPr>
          <w:rFonts w:ascii="Candara" w:hAnsi="Candara"/>
        </w:rPr>
      </w:pPr>
      <w:r>
        <w:rPr>
          <w:rFonts w:ascii="Candara" w:hAnsi="Candara"/>
          <w:color w:val="000000"/>
        </w:rPr>
        <w:t>Viste, altresì, le Linee Guida n. 4 di attuazione del D. Lgs. 50/2016 recanti “Procedure per l’affidamento dei contratti pubblici di importo inferiore alle soglie di rilevanza comunitaria, indagini di mercato e formazione e gestione degli elenchi di operatori economici” approvate dall’ANAC con delibera n.1097, del 26 ottobre 2016, aggiornate al 01 marzo 2018, prevedono che il principio di rotazione non si applica laddove il nuovo affidamento avvenga tramite procedure ordinarie o comunque aperte al mercato, nelle quali la stazione appaltante, in virtù di regole prestabilite dal Codice dei contratti pubblici ovvero dalla stessa in caso di indagini di mercato o consultazione di elenchi, non operi alcuna limitazione in ordine al numero di operatori economici tra i quali effettuare la selezione;</w:t>
      </w:r>
    </w:p>
    <w:p w:rsidR="00472983" w:rsidRDefault="00472983">
      <w:pPr>
        <w:pStyle w:val="NormaleWeb"/>
        <w:spacing w:after="100" w:afterAutospacing="1" w:line="240" w:lineRule="auto"/>
        <w:ind w:right="96"/>
        <w:jc w:val="both"/>
        <w:rPr>
          <w:rFonts w:ascii="Candara" w:hAnsi="Candara"/>
        </w:rPr>
      </w:pPr>
      <w:r>
        <w:rPr>
          <w:rFonts w:ascii="Candara" w:hAnsi="Candara"/>
          <w:color w:val="000000"/>
        </w:rPr>
        <w:t>Visto il D.P.R. 207/2010 per le disposizioni applicabili; </w:t>
      </w:r>
    </w:p>
    <w:p w:rsidR="00472983" w:rsidRDefault="00472983">
      <w:pPr>
        <w:pStyle w:val="NormaleWeb"/>
        <w:spacing w:after="100" w:afterAutospacing="1" w:line="240" w:lineRule="auto"/>
        <w:ind w:right="96"/>
        <w:jc w:val="both"/>
        <w:rPr>
          <w:rFonts w:ascii="Candara" w:hAnsi="Candara"/>
        </w:rPr>
      </w:pPr>
      <w:r>
        <w:rPr>
          <w:rFonts w:ascii="Candara" w:hAnsi="Candara"/>
          <w:color w:val="000000"/>
        </w:rPr>
        <w:t>Vista la Deliberazione del Consiglio camerale n. 11 del 26 ottobre 2011 con la quale è stato approvato il Regolamento camerale per l’acquisizione di Beni, Servizi e per l’esecuzione di Lavori in Economia:</w:t>
      </w:r>
    </w:p>
    <w:p w:rsidR="00472983" w:rsidRDefault="00472983">
      <w:pPr>
        <w:pStyle w:val="NormaleWeb"/>
        <w:spacing w:after="100" w:afterAutospacing="1" w:line="240" w:lineRule="auto"/>
        <w:ind w:right="96"/>
        <w:jc w:val="both"/>
        <w:rPr>
          <w:rFonts w:ascii="Candara" w:hAnsi="Candara"/>
        </w:rPr>
      </w:pPr>
      <w:r>
        <w:rPr>
          <w:rFonts w:ascii="Candara" w:hAnsi="Candara"/>
          <w:color w:val="000000"/>
        </w:rPr>
        <w:t>Vista la Determinazione a contrarre n. 247 del 07/06/2021, con la quale è stata approvata la pubblicazione per la durata di trenta giorni consecutivi sul sito istituzionale della Camera, sia nella sezione News che nella sezione Bandi ed Avvisi, nonché all’Albo camerale, dell’avviso pubblico finalizzato all’indagine di mercato per la individuazione degli operatori economici da invitare alla successiva procedura negoziata, ai sensi dell’art. 36 comma 2 lettera a) e comma 6 del suddetto D.Lgs. 50/2016, per l’appalto del servizio di catalogazione SBN WEB della Biblioteca “Antonio Pastore” della C.C.I.A.A. di Salerno, da affidarsi all’operatore economico che avrà proposto il prezzo più basso, e del modello di manifestazione di interesse al fine dell’individuazione di potenziali concorrenti alla procedura;</w:t>
      </w:r>
    </w:p>
    <w:p w:rsidR="00472983" w:rsidRDefault="00472983">
      <w:pPr>
        <w:pStyle w:val="NormaleWeb"/>
        <w:spacing w:after="100" w:afterAutospacing="1" w:line="240" w:lineRule="auto"/>
        <w:jc w:val="both"/>
        <w:rPr>
          <w:rFonts w:ascii="Candara" w:hAnsi="Candara"/>
        </w:rPr>
      </w:pPr>
      <w:r>
        <w:rPr>
          <w:rFonts w:ascii="Candara" w:hAnsi="Candara"/>
          <w:color w:val="000000"/>
        </w:rPr>
        <w:t>Visto  che l’unica manifestazione di interesse pervenuta entro il termine prescritto del giorno 10/07/2021, per la partecipazione alla selezione per il reperimento del servizio di cui all’oggetto, è stata trasmessa dalla società Polidoro SRL ed acquisita al protocollo dell’Ente con n. prot. 25142/2021/E del 16/06/2021;  </w:t>
      </w:r>
    </w:p>
    <w:p w:rsidR="00472983" w:rsidRDefault="00472983">
      <w:pPr>
        <w:pStyle w:val="NormaleWeb"/>
        <w:spacing w:after="100" w:afterAutospacing="1" w:line="240" w:lineRule="auto"/>
        <w:jc w:val="both"/>
        <w:rPr>
          <w:rFonts w:ascii="Candara" w:hAnsi="Candara"/>
        </w:rPr>
      </w:pPr>
    </w:p>
    <w:p w:rsidR="00472983" w:rsidRDefault="00472983">
      <w:pPr>
        <w:pStyle w:val="NormaleWeb"/>
        <w:spacing w:after="100" w:afterAutospacing="1" w:line="240" w:lineRule="auto"/>
        <w:ind w:right="125"/>
        <w:jc w:val="both"/>
        <w:rPr>
          <w:rFonts w:ascii="Candara" w:hAnsi="Candara"/>
        </w:rPr>
      </w:pPr>
      <w:r>
        <w:rPr>
          <w:rFonts w:ascii="Candara" w:hAnsi="Candara"/>
          <w:color w:val="000000"/>
        </w:rPr>
        <w:lastRenderedPageBreak/>
        <w:t>Preso atto che con lettera inviata a mezzo p.e.c. prot. n. 29275 del 20/07/2021, la Camera di Commercio invitava la citata società che aveva manifestato interesse a partecipare alla procedura di gara suindicata, a presentare la propria migliore offerta entro il termine perentorio delle ore 12:00 del giorno 31/07/2021;</w:t>
      </w:r>
    </w:p>
    <w:p w:rsidR="00472983" w:rsidRDefault="00472983">
      <w:pPr>
        <w:pStyle w:val="NormaleWeb"/>
        <w:spacing w:after="100" w:afterAutospacing="1" w:line="240" w:lineRule="auto"/>
        <w:ind w:right="125"/>
        <w:jc w:val="both"/>
        <w:rPr>
          <w:rFonts w:ascii="Candara" w:hAnsi="Candara"/>
        </w:rPr>
      </w:pPr>
      <w:r>
        <w:rPr>
          <w:rFonts w:ascii="Candara" w:hAnsi="Candara"/>
          <w:color w:val="000000"/>
        </w:rPr>
        <w:t>Vista la determinazione dirigenziale n. 368 del 28/09/2021 con la quale è stata nominata la Commissione giudicatrice della procedura negoziata, ai sensi del comma 1 dell’art. 84 del D.Lgs. 163/2006, per l’espletamento della procedura di cottimo fiduciario servizio di catalogazione SBN WEB della BIBLIOTECA nonché per l’esame della istanza presentata;</w:t>
      </w:r>
    </w:p>
    <w:p w:rsidR="00472983" w:rsidRDefault="00472983">
      <w:pPr>
        <w:pStyle w:val="NormaleWeb"/>
        <w:spacing w:after="100" w:afterAutospacing="1" w:line="240" w:lineRule="auto"/>
        <w:ind w:right="125"/>
        <w:jc w:val="both"/>
        <w:rPr>
          <w:rFonts w:ascii="Candara" w:hAnsi="Candara"/>
        </w:rPr>
      </w:pPr>
      <w:r>
        <w:rPr>
          <w:rFonts w:ascii="Candara" w:hAnsi="Candara"/>
          <w:color w:val="000000"/>
        </w:rPr>
        <w:t>Visto il Verbale di apertura plichi del 19/10/2021, con il quale la predetta Commissione ha verificato la corretta sigillatura ed il contenuto dell’unico plico presentato dalla società POLIDORO SRL il 28/07/2021, ore 11:30, con il quale si è verificato che l’offerta dell’unico concorrente è la seguente: percentuale di ribasso 5% pari ad € 325,00 sull’importo a base di gara di €. 6.500, oltre gli oneri per la sicurezza per €. 300;</w:t>
      </w:r>
    </w:p>
    <w:p w:rsidR="00472983" w:rsidRDefault="00472983">
      <w:pPr>
        <w:pStyle w:val="NormaleWeb"/>
        <w:spacing w:after="100" w:afterAutospacing="1" w:line="240" w:lineRule="auto"/>
        <w:ind w:right="74"/>
        <w:jc w:val="both"/>
        <w:rPr>
          <w:rFonts w:ascii="Candara" w:hAnsi="Candara"/>
        </w:rPr>
      </w:pPr>
      <w:r>
        <w:rPr>
          <w:rFonts w:ascii="Candara" w:hAnsi="Candara"/>
          <w:color w:val="000000"/>
        </w:rPr>
        <w:t>Visto che per la predetta Società sono stati già acquisiti il DURC, il Certificato di Regolarità fiscale, la visura dal Registro delle Imprese, nonchè il Certificato del Casellario Giudiziale ed il Certificato dei Carichi Pendenti, ai fini della verifica dell’assenza di cause di esclusione ai sensi dell’art. 80 del D. Lgs. 50/2016; </w:t>
      </w:r>
    </w:p>
    <w:p w:rsidR="00472983" w:rsidRDefault="00472983">
      <w:pPr>
        <w:pStyle w:val="NormaleWeb"/>
        <w:spacing w:after="100" w:afterAutospacing="1" w:line="240" w:lineRule="auto"/>
        <w:jc w:val="both"/>
        <w:rPr>
          <w:rFonts w:ascii="Candara" w:hAnsi="Candara"/>
        </w:rPr>
      </w:pPr>
      <w:r>
        <w:rPr>
          <w:rFonts w:ascii="Candara" w:hAnsi="Candara"/>
          <w:color w:val="000000"/>
        </w:rPr>
        <w:t xml:space="preserve">Visto che il CIG semplificato già richiesto all’A.N.A.C. è </w:t>
      </w:r>
      <w:r>
        <w:rPr>
          <w:rFonts w:ascii="Candara" w:hAnsi="Candara"/>
          <w:b/>
          <w:bCs/>
          <w:color w:val="000000"/>
        </w:rPr>
        <w:t>ZCE31E341C;</w:t>
      </w:r>
    </w:p>
    <w:p w:rsidR="00472983" w:rsidRDefault="00472983">
      <w:pPr>
        <w:pStyle w:val="NormaleWeb"/>
        <w:spacing w:after="100" w:afterAutospacing="1" w:line="240" w:lineRule="auto"/>
        <w:ind w:right="125"/>
        <w:jc w:val="both"/>
        <w:rPr>
          <w:rFonts w:ascii="Candara" w:hAnsi="Candara"/>
        </w:rPr>
      </w:pPr>
      <w:r>
        <w:rPr>
          <w:rFonts w:ascii="Candara" w:hAnsi="Candara"/>
          <w:color w:val="000000"/>
        </w:rPr>
        <w:t>Ritenuto di aggiudicare alla Società POLIDORO SRL – C.F./P.IVA 03446990651 – con sede in Sessa Aurunca (CE), al Corso Lucilio, n. 176, i servizi di cui al presente provvedimento col ribasso del 5% sul prezzo a base di gara stabilito dalla Camera;</w:t>
      </w:r>
    </w:p>
    <w:p w:rsidR="00472983" w:rsidRDefault="00472983">
      <w:pPr>
        <w:pStyle w:val="NormaleWeb"/>
        <w:spacing w:after="100" w:afterAutospacing="1" w:line="240" w:lineRule="auto"/>
        <w:ind w:right="96"/>
        <w:jc w:val="both"/>
        <w:rPr>
          <w:rFonts w:ascii="Candara" w:hAnsi="Candara"/>
        </w:rPr>
      </w:pPr>
      <w:r>
        <w:rPr>
          <w:rFonts w:ascii="Candara" w:hAnsi="Candara"/>
          <w:color w:val="000000"/>
        </w:rPr>
        <w:t>Visto che la fornitura di cui trattasi non rientra tra le categoria/soglie di obbligatorietà di centralizzazione degli acquisti di cui al D.C.P.M. de 24/12/2015, individuate in attuazione delle disposizioni dell’art. 9 comma 3 del D.L. 66/2014, e che, inoltre, le Camere di Commercio non sono elencate tra le Pubbliche Amministrazioni soggette all’obbligo;    </w:t>
      </w:r>
    </w:p>
    <w:p w:rsidR="00472983" w:rsidRDefault="00472983">
      <w:pPr>
        <w:pStyle w:val="NormaleWeb"/>
        <w:spacing w:after="100" w:afterAutospacing="1" w:line="240" w:lineRule="auto"/>
        <w:ind w:right="96"/>
        <w:jc w:val="both"/>
        <w:rPr>
          <w:rFonts w:ascii="Candara" w:hAnsi="Candara"/>
        </w:rPr>
      </w:pPr>
      <w:r>
        <w:rPr>
          <w:rFonts w:ascii="Candara" w:hAnsi="Candara"/>
          <w:color w:val="000000"/>
        </w:rPr>
        <w:t>Visto che ai sensi del D.Lgs. n. 81 del 9 aprile 2008 - t.u. delle norme sulla sicurezza e salute nei luoghi di lavoro - art. 26 “Obblighi connessi ai contratti d’appalto o d’opera o di somministrazione”, si è provveduto alla redazione del DUVRI per la sede di interesse, dal quale risulta che i costi per i rischi da interferenza sono nulli;</w:t>
      </w:r>
    </w:p>
    <w:p w:rsidR="00472983" w:rsidRDefault="00472983">
      <w:pPr>
        <w:pStyle w:val="NormaleWeb"/>
        <w:spacing w:after="100" w:afterAutospacing="1" w:line="240" w:lineRule="auto"/>
        <w:ind w:right="142"/>
        <w:jc w:val="both"/>
        <w:rPr>
          <w:rFonts w:ascii="Candara" w:hAnsi="Candara"/>
        </w:rPr>
      </w:pPr>
      <w:r>
        <w:rPr>
          <w:rFonts w:ascii="Candara" w:hAnsi="Candara"/>
          <w:color w:val="000000"/>
        </w:rPr>
        <w:t>Visto che l'importo complessivo del servizio, Iva ed oneri per la sicurezza compresi, ammonta ad €. 7.899,50;</w:t>
      </w:r>
    </w:p>
    <w:p w:rsidR="00472983" w:rsidRDefault="00472983">
      <w:pPr>
        <w:pStyle w:val="NormaleWeb"/>
        <w:spacing w:after="100" w:afterAutospacing="1" w:line="240" w:lineRule="auto"/>
        <w:ind w:right="142"/>
        <w:jc w:val="both"/>
        <w:rPr>
          <w:rFonts w:ascii="Candara" w:hAnsi="Candara"/>
        </w:rPr>
      </w:pPr>
      <w:r>
        <w:rPr>
          <w:rFonts w:ascii="Candara" w:hAnsi="Candara"/>
          <w:color w:val="000000"/>
        </w:rPr>
        <w:t>Vista la prenotazione n. 184/2021, assunta al conto di budget 325068 “Oneri vari di funzionamento” centro di costo AC04;</w:t>
      </w:r>
    </w:p>
    <w:p w:rsidR="00472983" w:rsidRDefault="00472983">
      <w:pPr>
        <w:pStyle w:val="NormaleWeb"/>
        <w:spacing w:after="100" w:afterAutospacing="1" w:line="240" w:lineRule="auto"/>
        <w:jc w:val="both"/>
        <w:rPr>
          <w:rFonts w:ascii="Candara" w:hAnsi="Candara"/>
        </w:rPr>
      </w:pPr>
      <w:r>
        <w:rPr>
          <w:rFonts w:ascii="Candara" w:hAnsi="Candara"/>
          <w:color w:val="000000"/>
        </w:rPr>
        <w:t>Visti i pareri favorevoli espressi dal dr. Maurizio Del Grosso, Capo Ufficio Biblioteca, nonché responsabile del procedimento, e dalla dr.ssa Emilia De Luca, Capo Servizio AA.GG. e Personale, in ordine alla sola legittimità dell’istruttoria e degli adempimenti procedurali;</w:t>
      </w:r>
    </w:p>
    <w:p w:rsidR="00472983" w:rsidRDefault="00472983">
      <w:pPr>
        <w:pStyle w:val="NormaleWeb"/>
        <w:spacing w:after="100" w:afterAutospacing="1" w:line="240" w:lineRule="auto"/>
        <w:jc w:val="both"/>
        <w:rPr>
          <w:rFonts w:ascii="Candara" w:hAnsi="Candara"/>
        </w:rPr>
      </w:pPr>
      <w:r>
        <w:rPr>
          <w:rFonts w:ascii="Candara" w:hAnsi="Candara"/>
          <w:color w:val="000000"/>
        </w:rPr>
        <w:t>Visto il parere espresso dal Responsabile della Struttura Intermedia di coordinamento “Bilancio Finanze e Risorse”, dr. Mario Crisconio, in ordine alla regolarità contabile; </w:t>
      </w:r>
    </w:p>
    <w:p w:rsidR="00472983" w:rsidRDefault="00472983">
      <w:pPr>
        <w:pStyle w:val="NormaleWeb"/>
        <w:spacing w:after="100" w:afterAutospacing="1" w:line="240" w:lineRule="auto"/>
        <w:jc w:val="both"/>
        <w:rPr>
          <w:rFonts w:ascii="Candara" w:hAnsi="Candara"/>
        </w:rPr>
      </w:pPr>
    </w:p>
    <w:p w:rsidR="00472983" w:rsidRDefault="00472983">
      <w:pPr>
        <w:pStyle w:val="NormaleWeb"/>
        <w:spacing w:after="100" w:afterAutospacing="1" w:line="240" w:lineRule="auto"/>
        <w:jc w:val="both"/>
        <w:rPr>
          <w:rFonts w:ascii="Candara" w:hAnsi="Candara"/>
        </w:rPr>
      </w:pPr>
      <w:r>
        <w:rPr>
          <w:rFonts w:ascii="Candara" w:hAnsi="Candara"/>
          <w:color w:val="000000"/>
        </w:rPr>
        <w:lastRenderedPageBreak/>
        <w:t>Visto il parere espresso dal Dirigente dell’AREA I, dr. Antonio Luciani, in ordine alla legittimità dell’istruttoria e di tutti gli adempimenti procedurali;</w:t>
      </w:r>
    </w:p>
    <w:p w:rsidR="00472983" w:rsidRDefault="00472983">
      <w:pPr>
        <w:pStyle w:val="NormaleWeb"/>
        <w:spacing w:after="0" w:line="240" w:lineRule="auto"/>
        <w:jc w:val="center"/>
      </w:pPr>
      <w:r>
        <w:rPr>
          <w:rFonts w:ascii="Trebuchet MS" w:hAnsi="Trebuchet MS"/>
          <w:b/>
          <w:bCs/>
          <w:color w:val="000000"/>
        </w:rPr>
        <w:t>DETERMINA</w:t>
      </w:r>
    </w:p>
    <w:p w:rsidR="00472983" w:rsidRDefault="00472983">
      <w:pPr>
        <w:pStyle w:val="NormaleWeb"/>
        <w:spacing w:after="0" w:line="240" w:lineRule="auto"/>
        <w:jc w:val="both"/>
        <w:rPr>
          <w:rFonts w:ascii="Trebuchet MS" w:hAnsi="Trebuchet MS"/>
          <w:color w:val="000000"/>
        </w:rPr>
      </w:pPr>
    </w:p>
    <w:p w:rsidR="00472983" w:rsidRDefault="00472983">
      <w:pPr>
        <w:pStyle w:val="NormaleWeb"/>
        <w:spacing w:after="0" w:line="240" w:lineRule="auto"/>
        <w:jc w:val="both"/>
        <w:rPr>
          <w:rFonts w:ascii="Candara" w:hAnsi="Candara"/>
          <w:color w:val="000000"/>
        </w:rPr>
      </w:pPr>
      <w:r>
        <w:rPr>
          <w:rFonts w:ascii="Candara" w:hAnsi="Candara"/>
          <w:color w:val="000000"/>
        </w:rPr>
        <w:t>di considerare la premessa narrativa presupposto di fatto e di diritto del presente provvedimento;</w:t>
      </w:r>
    </w:p>
    <w:p w:rsidR="00472983" w:rsidRDefault="00472983">
      <w:pPr>
        <w:pStyle w:val="NormaleWeb"/>
        <w:spacing w:line="240" w:lineRule="auto"/>
        <w:jc w:val="both"/>
        <w:rPr>
          <w:rFonts w:ascii="Candara" w:hAnsi="Candara"/>
        </w:rPr>
      </w:pPr>
      <w:r>
        <w:rPr>
          <w:rFonts w:ascii="Candara" w:hAnsi="Candara"/>
        </w:rPr>
        <w:t>di prendere atto del verbale di apertura plichi del 19/10/2021 sopra richiamato;</w:t>
      </w:r>
    </w:p>
    <w:p w:rsidR="00472983" w:rsidRDefault="00472983">
      <w:pPr>
        <w:pStyle w:val="NormaleWeb"/>
        <w:spacing w:after="0" w:line="240" w:lineRule="auto"/>
        <w:jc w:val="both"/>
        <w:rPr>
          <w:rFonts w:ascii="Candara" w:hAnsi="Candara"/>
          <w:color w:val="000000"/>
        </w:rPr>
      </w:pPr>
      <w:r>
        <w:rPr>
          <w:rFonts w:ascii="Candara" w:hAnsi="Candara"/>
          <w:color w:val="000000"/>
        </w:rPr>
        <w:t>di affidare, ai sensi dell’art. 36 – comma 2, alla Società POLIDORO SRL – C.F./P.IVA 03446990651 – con sede in Sessa Aurunca (CE), al Corso Lucilio, n. 176, il servizio di catalogazione SBN WEB della Biblioteca “Antonio Pastore” della C.C.I.A.A. di Salerno,  alle condizioni di cui al Capitolato allegato alla lettera d’invito prot. 29275 del 20/07/2021 per l’importo, iva ed oneri della sicurezza compresi, di €. 7.899,50;</w:t>
      </w:r>
    </w:p>
    <w:p w:rsidR="00472983" w:rsidRDefault="00472983">
      <w:pPr>
        <w:pStyle w:val="NormaleWeb"/>
        <w:spacing w:after="0" w:line="240" w:lineRule="auto"/>
        <w:jc w:val="both"/>
        <w:rPr>
          <w:rFonts w:ascii="Candara" w:hAnsi="Candara"/>
          <w:color w:val="000000"/>
        </w:rPr>
      </w:pPr>
      <w:r>
        <w:rPr>
          <w:rFonts w:ascii="Candara" w:hAnsi="Candara"/>
          <w:color w:val="000000"/>
        </w:rPr>
        <w:t>di procedere alla stipula del contratto relativo alla fornitura di cui al presente provvedimento mediante scambio di corrispondenza;</w:t>
      </w:r>
    </w:p>
    <w:p w:rsidR="00472983" w:rsidRDefault="00472983">
      <w:pPr>
        <w:pStyle w:val="NormaleWeb"/>
        <w:spacing w:after="0" w:line="240" w:lineRule="auto"/>
        <w:jc w:val="both"/>
        <w:rPr>
          <w:rFonts w:ascii="Candara" w:hAnsi="Candara"/>
          <w:color w:val="000000"/>
        </w:rPr>
      </w:pPr>
      <w:r>
        <w:rPr>
          <w:rFonts w:ascii="Candara" w:hAnsi="Candara"/>
          <w:color w:val="000000"/>
        </w:rPr>
        <w:t>di dare pubblicità all’aggiudicazione mediante pubblicazione sul profilo istituzionale della Camera nella sezione Amministrazione Trasparente e nella sezione NEWS – AVVISI E BANDI, secondo le previsioni del D.Lgs.50/2016 e del D.Lgs.33/2013; </w:t>
      </w:r>
    </w:p>
    <w:p w:rsidR="00472983" w:rsidRDefault="00472983">
      <w:pPr>
        <w:pStyle w:val="NormaleWeb"/>
        <w:spacing w:after="0" w:line="240" w:lineRule="auto"/>
        <w:jc w:val="both"/>
        <w:rPr>
          <w:rFonts w:ascii="Candara" w:hAnsi="Candara"/>
          <w:color w:val="000000"/>
        </w:rPr>
      </w:pPr>
      <w:r>
        <w:rPr>
          <w:rFonts w:ascii="Candara" w:hAnsi="Candara"/>
          <w:color w:val="000000"/>
        </w:rPr>
        <w:t xml:space="preserve">di imputare </w:t>
      </w:r>
      <w:r>
        <w:rPr>
          <w:rFonts w:ascii="Candara" w:hAnsi="Candara"/>
          <w:b/>
          <w:color w:val="000000"/>
        </w:rPr>
        <w:t>l’importo di €. 7.899,50</w:t>
      </w:r>
      <w:r>
        <w:rPr>
          <w:rFonts w:ascii="Candara" w:hAnsi="Candara"/>
          <w:color w:val="000000"/>
        </w:rPr>
        <w:t>, oneri della sicurezza ed Iva inclusi, per i servizi di cui al presente provvedimento, alla prenotazione di spesa n. 2021/184; </w:t>
      </w:r>
    </w:p>
    <w:p w:rsidR="00472983" w:rsidRDefault="00472983">
      <w:pPr>
        <w:pStyle w:val="NormaleWeb"/>
        <w:spacing w:after="0" w:line="240" w:lineRule="auto"/>
        <w:jc w:val="both"/>
        <w:rPr>
          <w:rFonts w:ascii="Candara" w:hAnsi="Candara"/>
          <w:color w:val="000000"/>
        </w:rPr>
      </w:pPr>
    </w:p>
    <w:p w:rsidR="00472983" w:rsidRDefault="00472983">
      <w:pPr>
        <w:pStyle w:val="NormaleWeb"/>
        <w:spacing w:after="0" w:line="240" w:lineRule="auto"/>
        <w:jc w:val="both"/>
        <w:rPr>
          <w:rFonts w:ascii="Candara" w:hAnsi="Candara"/>
          <w:color w:val="000000"/>
        </w:rPr>
      </w:pPr>
      <w:r>
        <w:rPr>
          <w:rFonts w:ascii="Candara" w:hAnsi="Candara"/>
          <w:color w:val="000000"/>
        </w:rPr>
        <w:t>La presente determinazione è esecutiva e sarà pubblicata nell’Albo camerale online ai sensi dell’art. 32 della Legge 18/6/09, n. 69.</w:t>
      </w:r>
    </w:p>
    <w:p w:rsidR="00472983" w:rsidRDefault="00472983">
      <w:pPr>
        <w:pStyle w:val="NormaleWeb"/>
        <w:spacing w:after="0" w:line="240" w:lineRule="auto"/>
        <w:jc w:val="both"/>
      </w:pPr>
    </w:p>
    <w:tbl>
      <w:tblPr>
        <w:tblW w:w="9645"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07"/>
        <w:gridCol w:w="4838"/>
      </w:tblGrid>
      <w:tr w:rsidR="00472983">
        <w:trPr>
          <w:tblCellSpacing w:w="0" w:type="dxa"/>
        </w:trPr>
        <w:tc>
          <w:tcPr>
            <w:tcW w:w="4740" w:type="dxa"/>
            <w:tcBorders>
              <w:top w:val="outset" w:sz="6" w:space="0" w:color="000000"/>
              <w:left w:val="outset" w:sz="6" w:space="0" w:color="000000"/>
              <w:bottom w:val="outset" w:sz="6" w:space="0" w:color="000000"/>
              <w:right w:val="outset" w:sz="6" w:space="0" w:color="000000"/>
            </w:tcBorders>
            <w:vAlign w:val="center"/>
            <w:hideMark/>
          </w:tcPr>
          <w:p w:rsidR="00472983" w:rsidRDefault="00472983">
            <w:pPr>
              <w:spacing w:before="100" w:beforeAutospacing="1"/>
              <w:jc w:val="center"/>
              <w:rPr>
                <w:rFonts w:ascii="Candara" w:hAnsi="Candara"/>
                <w:b/>
                <w:color w:val="000000"/>
                <w:lang w:val="it-IT" w:eastAsia="it-IT"/>
              </w:rPr>
            </w:pPr>
            <w:r>
              <w:rPr>
                <w:rFonts w:ascii="Candara" w:hAnsi="Candara"/>
                <w:b/>
                <w:color w:val="000000"/>
                <w:lang w:val="it-IT" w:eastAsia="it-IT"/>
              </w:rPr>
              <w:t>Il Responsabile del</w:t>
            </w:r>
          </w:p>
          <w:p w:rsidR="00472983" w:rsidRDefault="00472983">
            <w:pPr>
              <w:spacing w:before="100" w:beforeAutospacing="1"/>
              <w:jc w:val="center"/>
              <w:rPr>
                <w:rFonts w:ascii="Candara" w:hAnsi="Candara"/>
                <w:b/>
                <w:color w:val="000000"/>
                <w:lang w:val="it-IT" w:eastAsia="it-IT"/>
              </w:rPr>
            </w:pPr>
            <w:r>
              <w:rPr>
                <w:rFonts w:ascii="Candara" w:hAnsi="Candara"/>
                <w:b/>
                <w:color w:val="000000"/>
                <w:lang w:val="it-IT" w:eastAsia="it-IT"/>
              </w:rPr>
              <w:t>Procedimento Amm.vo</w:t>
            </w:r>
          </w:p>
          <w:p w:rsidR="00472983" w:rsidRDefault="00472983">
            <w:pPr>
              <w:spacing w:before="100" w:beforeAutospacing="1"/>
              <w:jc w:val="center"/>
            </w:pPr>
            <w:r>
              <w:rPr>
                <w:rFonts w:ascii="Candara" w:hAnsi="Candara"/>
                <w:b/>
                <w:color w:val="000000"/>
                <w:lang w:val="it-IT" w:eastAsia="it-IT"/>
              </w:rPr>
              <w:t>(Maurizio Del Grosso)</w:t>
            </w:r>
          </w:p>
        </w:tc>
        <w:tc>
          <w:tcPr>
            <w:tcW w:w="4770" w:type="dxa"/>
            <w:tcBorders>
              <w:top w:val="outset" w:sz="6" w:space="0" w:color="000000"/>
              <w:left w:val="outset" w:sz="6" w:space="0" w:color="000000"/>
              <w:bottom w:val="outset" w:sz="6" w:space="0" w:color="000000"/>
              <w:right w:val="outset" w:sz="6" w:space="0" w:color="000000"/>
            </w:tcBorders>
            <w:vAlign w:val="center"/>
            <w:hideMark/>
          </w:tcPr>
          <w:p w:rsidR="00472983" w:rsidRDefault="00472983">
            <w:pPr>
              <w:spacing w:before="100" w:beforeAutospacing="1"/>
              <w:jc w:val="center"/>
              <w:rPr>
                <w:rFonts w:ascii="Candara" w:hAnsi="Candara"/>
                <w:b/>
                <w:color w:val="000000"/>
                <w:lang w:val="it-IT" w:eastAsia="it-IT"/>
              </w:rPr>
            </w:pPr>
            <w:r>
              <w:rPr>
                <w:rFonts w:ascii="Candara" w:hAnsi="Candara"/>
                <w:b/>
                <w:color w:val="000000"/>
                <w:lang w:val="it-IT" w:eastAsia="it-IT"/>
              </w:rPr>
              <w:t>Il Segretario Generale </w:t>
            </w:r>
          </w:p>
          <w:p w:rsidR="00472983" w:rsidRDefault="00472983">
            <w:pPr>
              <w:spacing w:before="100" w:beforeAutospacing="1"/>
              <w:ind w:firstLine="720"/>
              <w:rPr>
                <w:rFonts w:ascii="Candara" w:hAnsi="Candara"/>
                <w:b/>
                <w:color w:val="000000"/>
                <w:lang w:val="it-IT" w:eastAsia="it-IT"/>
              </w:rPr>
            </w:pPr>
            <w:r>
              <w:rPr>
                <w:rFonts w:ascii="Candara" w:hAnsi="Candara"/>
                <w:b/>
                <w:color w:val="000000"/>
                <w:lang w:val="it-IT" w:eastAsia="it-IT"/>
              </w:rPr>
              <w:t>       (Dott. Raffaele De Sio)</w:t>
            </w:r>
          </w:p>
        </w:tc>
      </w:tr>
    </w:tbl>
    <w:p w:rsidR="00472983" w:rsidRDefault="00472983">
      <w:pPr>
        <w:pStyle w:val="NormaleWeb"/>
        <w:spacing w:after="0" w:line="240" w:lineRule="auto"/>
        <w:jc w:val="both"/>
        <w:rPr>
          <w:rFonts w:ascii="Candara" w:hAnsi="Candara"/>
          <w:color w:val="000000"/>
        </w:rPr>
      </w:pPr>
    </w:p>
    <w:p w:rsidR="00472983" w:rsidRDefault="00472983">
      <w:pPr>
        <w:pStyle w:val="NormaleWeb"/>
        <w:spacing w:after="0" w:line="240" w:lineRule="auto"/>
        <w:jc w:val="both"/>
        <w:rPr>
          <w:rFonts w:ascii="Candara" w:hAnsi="Candara"/>
          <w:color w:val="000000"/>
        </w:rPr>
      </w:pPr>
      <w:r>
        <w:rPr>
          <w:rFonts w:ascii="Candara" w:hAnsi="Candara"/>
          <w:color w:val="000000"/>
        </w:rPr>
        <w:t>Atto sottoscritto con firma digitale ai sensi del D. Lgs. n. 82 del 07/03/2005 e s.m.i.</w:t>
      </w:r>
    </w:p>
    <w:p w:rsidR="00472983" w:rsidRDefault="00472983">
      <w:pPr>
        <w:pStyle w:val="NormaleWeb"/>
        <w:spacing w:after="0" w:line="240" w:lineRule="auto"/>
        <w:jc w:val="both"/>
      </w:pPr>
      <w:r>
        <w:rPr>
          <w:rFonts w:ascii="Candara" w:hAnsi="Candara"/>
          <w:color w:val="000000"/>
        </w:rPr>
        <w:br/>
      </w:r>
      <w:r>
        <w:br/>
      </w:r>
    </w:p>
    <w:p w:rsidR="00472983" w:rsidRDefault="00472983">
      <w:pPr>
        <w:tabs>
          <w:tab w:val="left" w:pos="4373"/>
        </w:tabs>
        <w:rPr>
          <w:rFonts w:ascii="Trebuchet MS" w:hAnsi="Trebuchet MS" w:cs="Arial"/>
          <w:lang w:val="it-IT"/>
        </w:rPr>
      </w:pPr>
    </w:p>
    <w:p w:rsidR="00472983" w:rsidRDefault="00472983">
      <w:pPr>
        <w:rPr>
          <w:rFonts w:ascii="Trebuchet MS" w:hAnsi="Trebuchet MS" w:cs="Arial"/>
          <w:sz w:val="32"/>
          <w:szCs w:val="32"/>
          <w:lang w:val="it-IT"/>
        </w:rPr>
      </w:pPr>
    </w:p>
    <w:p w:rsidR="00472983" w:rsidRDefault="00472983">
      <w:pPr>
        <w:rPr>
          <w:rFonts w:ascii="Trebuchet MS" w:hAnsi="Trebuchet MS" w:cs="Arial"/>
          <w:sz w:val="32"/>
          <w:szCs w:val="32"/>
          <w:lang w:val="it-IT"/>
        </w:rPr>
      </w:pPr>
    </w:p>
    <w:p w:rsidR="00472983" w:rsidRDefault="00472983">
      <w:pPr>
        <w:rPr>
          <w:rFonts w:ascii="Trebuchet MS" w:hAnsi="Trebuchet MS" w:cs="Arial"/>
          <w:sz w:val="32"/>
          <w:szCs w:val="32"/>
          <w:lang w:val="it-IT"/>
        </w:rPr>
      </w:pPr>
    </w:p>
    <w:p w:rsidR="00472983" w:rsidRDefault="00472983">
      <w:pPr>
        <w:rPr>
          <w:rFonts w:ascii="Trebuchet MS" w:hAnsi="Trebuchet MS" w:cs="Arial"/>
          <w:sz w:val="32"/>
          <w:szCs w:val="32"/>
          <w:lang w:val="it-IT"/>
        </w:rPr>
      </w:pPr>
    </w:p>
    <w:p w:rsidR="00472983" w:rsidRDefault="00472983">
      <w:pPr>
        <w:rPr>
          <w:rFonts w:ascii="Trebuchet MS" w:hAnsi="Trebuchet MS" w:cs="Arial"/>
          <w:sz w:val="32"/>
          <w:szCs w:val="32"/>
          <w:lang w:val="it-IT"/>
        </w:rPr>
      </w:pPr>
    </w:p>
    <w:p w:rsidR="00472983" w:rsidRDefault="00472983">
      <w:pPr>
        <w:rPr>
          <w:rFonts w:ascii="Trebuchet MS" w:hAnsi="Trebuchet MS" w:cs="Arial"/>
          <w:lang w:val="it-IT"/>
        </w:rPr>
      </w:pPr>
    </w:p>
    <w:p w:rsidR="00472983" w:rsidRDefault="00472983">
      <w:pPr>
        <w:rPr>
          <w:rFonts w:ascii="Trebuchet MS" w:hAnsi="Trebuchet MS" w:cs="Arial"/>
          <w:sz w:val="32"/>
          <w:szCs w:val="32"/>
          <w:lang w:val="it-IT"/>
        </w:rPr>
      </w:pPr>
    </w:p>
    <w:p w:rsidR="00472983" w:rsidRDefault="00472983">
      <w:pPr>
        <w:rPr>
          <w:rFonts w:ascii="Trebuchet MS" w:hAnsi="Trebuchet MS" w:cs="Arial"/>
          <w:sz w:val="32"/>
          <w:szCs w:val="32"/>
          <w:lang w:val="it-IT"/>
        </w:rPr>
      </w:pPr>
    </w:p>
    <w:p w:rsidR="00472983" w:rsidRDefault="00472983">
      <w:pPr>
        <w:rPr>
          <w:rFonts w:ascii="Trebuchet MS" w:hAnsi="Trebuchet MS" w:cs="Arial"/>
          <w:sz w:val="32"/>
          <w:szCs w:val="32"/>
          <w:lang w:val="it-IT"/>
        </w:rPr>
      </w:pPr>
    </w:p>
    <w:p w:rsidR="00472983" w:rsidRDefault="00472983">
      <w:pPr>
        <w:rPr>
          <w:rFonts w:ascii="Trebuchet MS" w:hAnsi="Trebuchet MS" w:cs="Arial"/>
          <w:sz w:val="32"/>
          <w:szCs w:val="32"/>
          <w:lang w:val="it-IT"/>
        </w:rPr>
      </w:pPr>
    </w:p>
    <w:p w:rsidR="00472983" w:rsidRDefault="00472983">
      <w:pPr>
        <w:rPr>
          <w:rFonts w:ascii="Trebuchet MS" w:hAnsi="Trebuchet MS" w:cs="Arial"/>
          <w:sz w:val="32"/>
          <w:szCs w:val="32"/>
          <w:lang w:val="it-IT"/>
        </w:rPr>
      </w:pPr>
    </w:p>
    <w:p w:rsidR="00472983" w:rsidRDefault="00472983">
      <w:pPr>
        <w:rPr>
          <w:rFonts w:ascii="Trebuchet MS" w:hAnsi="Trebuchet MS" w:cs="Arial"/>
          <w:sz w:val="32"/>
          <w:szCs w:val="32"/>
          <w:lang w:val="it-IT"/>
        </w:rPr>
      </w:pPr>
    </w:p>
    <w:p w:rsidR="00472983" w:rsidRDefault="00472983">
      <w:pPr>
        <w:rPr>
          <w:rFonts w:ascii="Trebuchet MS" w:hAnsi="Trebuchet MS" w:cs="Arial"/>
          <w:sz w:val="32"/>
          <w:szCs w:val="32"/>
          <w:lang w:val="it-IT"/>
        </w:rPr>
      </w:pPr>
    </w:p>
    <w:p w:rsidR="00472983" w:rsidRDefault="00472983">
      <w:pPr>
        <w:tabs>
          <w:tab w:val="left" w:pos="5760"/>
        </w:tabs>
        <w:rPr>
          <w:rFonts w:ascii="Trebuchet MS" w:hAnsi="Trebuchet MS" w:cs="Arial"/>
          <w:sz w:val="32"/>
          <w:szCs w:val="32"/>
          <w:lang w:val="it-IT"/>
        </w:rPr>
      </w:pPr>
    </w:p>
    <w:p w:rsidR="00472983" w:rsidRDefault="00472983">
      <w:pPr>
        <w:tabs>
          <w:tab w:val="left" w:pos="5760"/>
        </w:tabs>
        <w:rPr>
          <w:rFonts w:ascii="Trebuchet MS" w:hAnsi="Trebuchet MS" w:cs="Arial"/>
          <w:sz w:val="32"/>
          <w:szCs w:val="32"/>
          <w:lang w:val="it-IT"/>
        </w:rPr>
      </w:pPr>
    </w:p>
    <w:p w:rsidR="00472983" w:rsidRDefault="00472983">
      <w:pPr>
        <w:tabs>
          <w:tab w:val="left" w:pos="5760"/>
        </w:tabs>
        <w:rPr>
          <w:rFonts w:ascii="Trebuchet MS" w:hAnsi="Trebuchet MS" w:cs="Arial"/>
          <w:sz w:val="32"/>
          <w:szCs w:val="32"/>
          <w:lang w:val="it-IT"/>
        </w:rPr>
      </w:pPr>
    </w:p>
    <w:p w:rsidR="00472983" w:rsidRDefault="00472983">
      <w:pPr>
        <w:tabs>
          <w:tab w:val="left" w:pos="5760"/>
        </w:tabs>
        <w:rPr>
          <w:rFonts w:ascii="Trebuchet MS" w:hAnsi="Trebuchet MS" w:cs="Arial"/>
          <w:sz w:val="32"/>
          <w:szCs w:val="32"/>
          <w:lang w:val="it-IT"/>
        </w:rPr>
      </w:pPr>
    </w:p>
    <w:p w:rsidR="00472983" w:rsidRDefault="00472983">
      <w:pPr>
        <w:tabs>
          <w:tab w:val="left" w:pos="5760"/>
        </w:tabs>
        <w:rPr>
          <w:rFonts w:ascii="Trebuchet MS" w:hAnsi="Trebuchet MS" w:cs="Arial"/>
          <w:sz w:val="32"/>
          <w:szCs w:val="32"/>
          <w:lang w:val="it-IT"/>
        </w:rPr>
      </w:pPr>
    </w:p>
    <w:p w:rsidR="00472983" w:rsidRDefault="00472983">
      <w:pPr>
        <w:tabs>
          <w:tab w:val="left" w:pos="5760"/>
        </w:tabs>
        <w:rPr>
          <w:rFonts w:ascii="Trebuchet MS" w:hAnsi="Trebuchet MS" w:cs="Arial"/>
          <w:sz w:val="32"/>
          <w:szCs w:val="32"/>
          <w:lang w:val="it-IT"/>
        </w:rPr>
      </w:pPr>
    </w:p>
    <w:p w:rsidR="00472983" w:rsidRDefault="00472983">
      <w:pPr>
        <w:tabs>
          <w:tab w:val="left" w:pos="5760"/>
        </w:tabs>
        <w:rPr>
          <w:rFonts w:ascii="Trebuchet MS" w:hAnsi="Trebuchet MS" w:cs="Arial"/>
          <w:sz w:val="32"/>
          <w:szCs w:val="32"/>
          <w:lang w:val="it-IT"/>
        </w:rPr>
      </w:pPr>
    </w:p>
    <w:p w:rsidR="00472983" w:rsidRDefault="00472983">
      <w:pPr>
        <w:tabs>
          <w:tab w:val="left" w:pos="5760"/>
        </w:tabs>
        <w:rPr>
          <w:rFonts w:ascii="Trebuchet MS" w:hAnsi="Trebuchet MS" w:cs="Arial"/>
          <w:sz w:val="32"/>
          <w:szCs w:val="32"/>
          <w:lang w:val="it-IT"/>
        </w:rPr>
      </w:pPr>
    </w:p>
    <w:p w:rsidR="00472983" w:rsidRDefault="00472983">
      <w:pPr>
        <w:tabs>
          <w:tab w:val="left" w:pos="5760"/>
        </w:tabs>
        <w:rPr>
          <w:rFonts w:ascii="Trebuchet MS" w:hAnsi="Trebuchet MS" w:cs="Arial"/>
          <w:sz w:val="32"/>
          <w:szCs w:val="32"/>
          <w:lang w:val="it-IT"/>
        </w:rPr>
      </w:pPr>
    </w:p>
    <w:p w:rsidR="00472983" w:rsidRDefault="00472983">
      <w:pPr>
        <w:tabs>
          <w:tab w:val="left" w:pos="5760"/>
        </w:tabs>
        <w:rPr>
          <w:rFonts w:ascii="Trebuchet MS" w:hAnsi="Trebuchet MS" w:cs="Arial"/>
          <w:sz w:val="32"/>
          <w:szCs w:val="32"/>
          <w:lang w:val="it-IT"/>
        </w:rPr>
      </w:pPr>
    </w:p>
    <w:p w:rsidR="00472983" w:rsidRDefault="00472983">
      <w:pPr>
        <w:tabs>
          <w:tab w:val="left" w:pos="5760"/>
        </w:tabs>
        <w:rPr>
          <w:rFonts w:ascii="Trebuchet MS" w:hAnsi="Trebuchet MS" w:cs="Arial"/>
          <w:sz w:val="32"/>
          <w:szCs w:val="32"/>
          <w:lang w:val="it-IT"/>
        </w:rPr>
      </w:pPr>
    </w:p>
    <w:p w:rsidR="00472983" w:rsidRDefault="00472983">
      <w:pPr>
        <w:tabs>
          <w:tab w:val="left" w:pos="5760"/>
        </w:tabs>
        <w:rPr>
          <w:rFonts w:ascii="Trebuchet MS" w:hAnsi="Trebuchet MS" w:cs="Arial"/>
          <w:sz w:val="32"/>
          <w:szCs w:val="32"/>
          <w:lang w:val="it-IT"/>
        </w:rPr>
      </w:pPr>
    </w:p>
    <w:p w:rsidR="00472983" w:rsidRDefault="00472983">
      <w:pPr>
        <w:tabs>
          <w:tab w:val="left" w:pos="5760"/>
        </w:tabs>
        <w:rPr>
          <w:rFonts w:ascii="Trebuchet MS" w:hAnsi="Trebuchet MS" w:cs="Arial"/>
          <w:sz w:val="32"/>
          <w:szCs w:val="32"/>
          <w:lang w:val="it-IT"/>
        </w:rPr>
      </w:pPr>
    </w:p>
    <w:p w:rsidR="00472983" w:rsidRDefault="00472983">
      <w:pPr>
        <w:tabs>
          <w:tab w:val="left" w:pos="5760"/>
        </w:tabs>
        <w:rPr>
          <w:rFonts w:ascii="Trebuchet MS" w:hAnsi="Trebuchet MS" w:cs="Arial"/>
          <w:sz w:val="32"/>
          <w:szCs w:val="32"/>
          <w:lang w:val="it-IT"/>
        </w:rPr>
      </w:pPr>
    </w:p>
    <w:p w:rsidR="00472983" w:rsidRDefault="00472983">
      <w:pPr>
        <w:tabs>
          <w:tab w:val="left" w:pos="5760"/>
        </w:tabs>
        <w:rPr>
          <w:rFonts w:ascii="Trebuchet MS" w:hAnsi="Trebuchet MS" w:cs="Arial"/>
          <w:sz w:val="32"/>
          <w:szCs w:val="32"/>
          <w:lang w:val="it-IT"/>
        </w:rPr>
      </w:pPr>
    </w:p>
    <w:p w:rsidR="00472983" w:rsidRDefault="00472983">
      <w:pPr>
        <w:tabs>
          <w:tab w:val="left" w:pos="5760"/>
        </w:tabs>
        <w:rPr>
          <w:rFonts w:ascii="Trebuchet MS" w:hAnsi="Trebuchet MS" w:cs="Arial"/>
          <w:sz w:val="32"/>
          <w:szCs w:val="32"/>
          <w:lang w:val="it-IT"/>
        </w:rPr>
      </w:pPr>
    </w:p>
    <w:p w:rsidR="00472983" w:rsidRDefault="00472983">
      <w:pPr>
        <w:tabs>
          <w:tab w:val="left" w:pos="5760"/>
        </w:tabs>
        <w:rPr>
          <w:rFonts w:ascii="Trebuchet MS" w:hAnsi="Trebuchet MS" w:cs="Arial"/>
          <w:sz w:val="32"/>
          <w:szCs w:val="32"/>
          <w:lang w:val="it-IT"/>
        </w:rPr>
      </w:pPr>
    </w:p>
    <w:p w:rsidR="00472983" w:rsidRDefault="00472983">
      <w:pPr>
        <w:tabs>
          <w:tab w:val="left" w:pos="5760"/>
        </w:tabs>
        <w:rPr>
          <w:rFonts w:ascii="Trebuchet MS" w:hAnsi="Trebuchet MS" w:cs="Arial"/>
          <w:sz w:val="32"/>
          <w:szCs w:val="32"/>
          <w:lang w:val="it-IT"/>
        </w:rPr>
      </w:pPr>
    </w:p>
    <w:p w:rsidR="00472983" w:rsidRDefault="00472983">
      <w:pPr>
        <w:tabs>
          <w:tab w:val="left" w:pos="5760"/>
        </w:tabs>
        <w:rPr>
          <w:rFonts w:ascii="Trebuchet MS" w:hAnsi="Trebuchet MS" w:cs="Arial"/>
          <w:sz w:val="32"/>
          <w:szCs w:val="32"/>
          <w:lang w:val="it-IT"/>
        </w:rPr>
      </w:pPr>
    </w:p>
    <w:p w:rsidR="00472983" w:rsidRDefault="00472983">
      <w:pPr>
        <w:tabs>
          <w:tab w:val="left" w:pos="5760"/>
        </w:tabs>
        <w:rPr>
          <w:rFonts w:ascii="Trebuchet MS" w:hAnsi="Trebuchet MS" w:cs="Arial"/>
          <w:sz w:val="32"/>
          <w:szCs w:val="32"/>
          <w:lang w:val="it-IT"/>
        </w:rPr>
      </w:pPr>
      <w:r>
        <w:rPr>
          <w:rFonts w:ascii="Trebuchet MS" w:hAnsi="Trebuchet MS" w:cs="Arial"/>
          <w:sz w:val="32"/>
          <w:szCs w:val="32"/>
          <w:lang w:val="it-IT"/>
        </w:rPr>
        <w:tab/>
      </w:r>
    </w:p>
    <w:p w:rsidR="00472983" w:rsidRDefault="00472983">
      <w:pPr>
        <w:rPr>
          <w:lang w:val="it-IT"/>
        </w:rPr>
      </w:pPr>
      <w:r>
        <w:rPr>
          <w:lang w:val="it-IT"/>
        </w:rPr>
        <w:br w:type="page"/>
      </w:r>
    </w:p>
    <w:p w:rsidR="00472983" w:rsidRDefault="00472983">
      <w:pPr>
        <w:rPr>
          <w:lang w:val="it-IT"/>
        </w:rPr>
      </w:pPr>
      <w:r>
        <w:rPr>
          <w:lang w:val="it-IT"/>
        </w:rPr>
        <w:t xml:space="preserve"> </w:t>
      </w:r>
    </w:p>
    <w:p w:rsidR="00472983" w:rsidRDefault="00472983">
      <w:pPr>
        <w:rPr>
          <w:lang w:val="it-IT"/>
        </w:rPr>
      </w:pPr>
    </w:p>
    <w:p w:rsidR="00472983" w:rsidRDefault="00472983">
      <w:pPr>
        <w:rPr>
          <w:lang w:val="it-IT"/>
        </w:rPr>
      </w:pPr>
    </w:p>
    <w:p w:rsidR="00472983" w:rsidRDefault="00472983">
      <w:pPr>
        <w:ind w:left="1560" w:hanging="1560"/>
        <w:rPr>
          <w:lang w:val="it-IT"/>
        </w:rPr>
      </w:pPr>
    </w:p>
    <w:p w:rsidR="00472983" w:rsidRDefault="00472983">
      <w:pPr>
        <w:rPr>
          <w:lang w:val="it-IT"/>
        </w:rPr>
      </w:pPr>
      <w:r>
        <w:rPr>
          <w:lang w:val="it-IT"/>
        </w:rPr>
        <w:t>--------------</w:t>
      </w:r>
      <w:r>
        <w:rPr>
          <w:rFonts w:ascii="Trebuchet MS" w:hAnsi="Trebuchet MS"/>
          <w:lang w:val="it-IT"/>
        </w:rPr>
        <w:t>Non scrivere al di sotto di questa riga: spazio dedicato alla Ragioneria</w:t>
      </w:r>
      <w:r>
        <w:rPr>
          <w:lang w:val="it-IT"/>
        </w:rPr>
        <w:t>----------------</w:t>
      </w:r>
    </w:p>
    <w:p w:rsidR="00472983" w:rsidRDefault="00472983">
      <w:pPr>
        <w:rPr>
          <w:lang w:val="it-IT"/>
        </w:rPr>
      </w:pPr>
    </w:p>
    <w:p w:rsidR="00472983" w:rsidRDefault="00472983">
      <w:pPr>
        <w:rPr>
          <w:lang w:val="it-IT"/>
        </w:rPr>
      </w:pPr>
    </w:p>
    <w:p w:rsidR="00472983" w:rsidRDefault="00472983">
      <w:pPr>
        <w:rPr>
          <w:rFonts w:ascii="Trebuchet MS" w:hAnsi="Trebuchet MS"/>
          <w:b/>
          <w:i/>
          <w:u w:val="single"/>
        </w:rPr>
      </w:pPr>
      <w:bookmarkStart w:id="4" w:name="Inizio"/>
      <w:bookmarkEnd w:id="4"/>
      <w:r>
        <w:rPr>
          <w:rFonts w:ascii="Trebuchet MS" w:hAnsi="Trebuchet MS"/>
          <w:b/>
          <w:i/>
          <w:u w:val="single"/>
        </w:rPr>
        <w:t>SCHEDA DATI BUDGET</w:t>
      </w:r>
    </w:p>
    <w:p w:rsidR="00472983" w:rsidRDefault="00472983">
      <w:pPr>
        <w:rPr>
          <w:rFonts w:ascii="Trebuchet MS" w:hAnsi="Trebuchet MS"/>
        </w:rPr>
      </w:pPr>
    </w:p>
    <w:p w:rsidR="00472983" w:rsidRDefault="00472983">
      <w:pPr>
        <w:rPr>
          <w:rFonts w:ascii="Trebuchet MS" w:hAnsi="Trebuchet MS"/>
        </w:rPr>
      </w:pPr>
    </w:p>
    <w:p w:rsidR="00472983" w:rsidRDefault="00472983">
      <w:pPr>
        <w:rPr>
          <w:rFonts w:ascii="Trebuchet MS" w:hAnsi="Trebuchet MS"/>
        </w:rPr>
      </w:pPr>
    </w:p>
    <w:p w:rsidR="00472983" w:rsidRDefault="00472983">
      <w:pPr>
        <w:rPr>
          <w:rFonts w:ascii="Trebuchet MS" w:hAnsi="Trebuchet MS"/>
        </w:rPr>
      </w:pPr>
      <w:bookmarkStart w:id="5" w:name="New"/>
      <w:bookmarkEnd w:id="5"/>
    </w:p>
    <w:p w:rsidR="00472983" w:rsidRDefault="00472983">
      <w:pPr>
        <w:rPr>
          <w:rFonts w:ascii="Trebuchet MS" w:hAnsi="Trebuchet MS"/>
        </w:rPr>
      </w:pPr>
    </w:p>
    <w:p w:rsidR="00472983" w:rsidRDefault="00472983">
      <w:pPr>
        <w:rPr>
          <w:rFonts w:ascii="Trebuchet MS" w:hAnsi="Trebuchet MS"/>
          <w:sz w:val="22"/>
          <w:szCs w:val="22"/>
        </w:rPr>
      </w:pPr>
    </w:p>
    <w:sectPr w:rsidR="00472983">
      <w:type w:val="continuous"/>
      <w:pgSz w:w="12240" w:h="15840" w:code="1"/>
      <w:pgMar w:top="567" w:right="1134" w:bottom="1134" w:left="1134"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E66" w:rsidRDefault="00A40E66">
      <w:r>
        <w:separator/>
      </w:r>
    </w:p>
  </w:endnote>
  <w:endnote w:type="continuationSeparator" w:id="0">
    <w:p w:rsidR="00A40E66" w:rsidRDefault="00A4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E66" w:rsidRDefault="00A40E66">
      <w:r>
        <w:separator/>
      </w:r>
    </w:p>
  </w:footnote>
  <w:footnote w:type="continuationSeparator" w:id="0">
    <w:p w:rsidR="00A40E66" w:rsidRDefault="00A40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983" w:rsidRDefault="005951EE">
    <w:pPr>
      <w:pStyle w:val="Rientrocorpodeltesto"/>
      <w:spacing w:line="360" w:lineRule="auto"/>
      <w:ind w:firstLine="0"/>
      <w:jc w:val="center"/>
    </w:pPr>
    <w:r>
      <w:rPr>
        <w:noProof/>
      </w:rPr>
      <w:drawing>
        <wp:inline distT="0" distB="0" distL="0" distR="0">
          <wp:extent cx="3228975" cy="590550"/>
          <wp:effectExtent l="0" t="0" r="0" b="0"/>
          <wp:docPr id="1" name="Immagine 1" descr="Salerno-RGB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erno-RGB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8975" cy="590550"/>
                  </a:xfrm>
                  <a:prstGeom prst="rect">
                    <a:avLst/>
                  </a:prstGeom>
                  <a:noFill/>
                  <a:ln>
                    <a:noFill/>
                  </a:ln>
                </pic:spPr>
              </pic:pic>
            </a:graphicData>
          </a:graphic>
        </wp:inline>
      </w:drawing>
    </w:r>
  </w:p>
  <w:p w:rsidR="00472983" w:rsidRDefault="00472983">
    <w:pPr>
      <w:pStyle w:val="Rientrocorpodeltesto"/>
      <w:spacing w:line="360" w:lineRule="auto"/>
      <w:ind w:left="4139" w:firstLine="53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E5406"/>
    <w:multiLevelType w:val="singleLevel"/>
    <w:tmpl w:val="F6CC9176"/>
    <w:lvl w:ilvl="0">
      <w:start w:val="14"/>
      <w:numFmt w:val="bullet"/>
      <w:lvlText w:val="-"/>
      <w:lvlJc w:val="left"/>
      <w:pPr>
        <w:tabs>
          <w:tab w:val="num" w:pos="420"/>
        </w:tabs>
        <w:ind w:left="420" w:hanging="360"/>
      </w:pPr>
      <w:rPr>
        <w:rFonts w:hint="default"/>
      </w:rPr>
    </w:lvl>
  </w:abstractNum>
  <w:abstractNum w:abstractNumId="1" w15:restartNumberingAfterBreak="0">
    <w:nsid w:val="3755011B"/>
    <w:multiLevelType w:val="singleLevel"/>
    <w:tmpl w:val="F6CC9176"/>
    <w:lvl w:ilvl="0">
      <w:start w:val="14"/>
      <w:numFmt w:val="bullet"/>
      <w:lvlText w:val="-"/>
      <w:lvlJc w:val="left"/>
      <w:pPr>
        <w:tabs>
          <w:tab w:val="num" w:pos="420"/>
        </w:tabs>
        <w:ind w:left="420" w:hanging="360"/>
      </w:pPr>
      <w:rPr>
        <w:rFonts w:hint="default"/>
      </w:rPr>
    </w:lvl>
  </w:abstractNum>
  <w:abstractNum w:abstractNumId="2" w15:restartNumberingAfterBreak="0">
    <w:nsid w:val="43F83B8D"/>
    <w:multiLevelType w:val="singleLevel"/>
    <w:tmpl w:val="F6CC9176"/>
    <w:lvl w:ilvl="0">
      <w:start w:val="14"/>
      <w:numFmt w:val="bullet"/>
      <w:lvlText w:val="-"/>
      <w:lvlJc w:val="left"/>
      <w:pPr>
        <w:tabs>
          <w:tab w:val="num" w:pos="420"/>
        </w:tabs>
        <w:ind w:left="420" w:hanging="360"/>
      </w:pPr>
      <w:rPr>
        <w:rFonts w:hint="default"/>
      </w:rPr>
    </w:lvl>
  </w:abstractNum>
  <w:abstractNum w:abstractNumId="3" w15:restartNumberingAfterBreak="0">
    <w:nsid w:val="593F20E2"/>
    <w:multiLevelType w:val="singleLevel"/>
    <w:tmpl w:val="F6CC9176"/>
    <w:lvl w:ilvl="0">
      <w:start w:val="14"/>
      <w:numFmt w:val="bullet"/>
      <w:lvlText w:val="-"/>
      <w:lvlJc w:val="left"/>
      <w:pPr>
        <w:tabs>
          <w:tab w:val="num" w:pos="420"/>
        </w:tabs>
        <w:ind w:left="420" w:hanging="360"/>
      </w:pPr>
      <w:rPr>
        <w:rFonts w:hint="default"/>
      </w:rPr>
    </w:lvl>
  </w:abstractNum>
  <w:abstractNum w:abstractNumId="4" w15:restartNumberingAfterBreak="0">
    <w:nsid w:val="748E37C5"/>
    <w:multiLevelType w:val="singleLevel"/>
    <w:tmpl w:val="89D06E80"/>
    <w:lvl w:ilvl="0">
      <w:start w:val="1"/>
      <w:numFmt w:val="decimal"/>
      <w:lvlText w:val="%1."/>
      <w:legacy w:legacy="1" w:legacySpace="0" w:legacyIndent="283"/>
      <w:lvlJc w:val="left"/>
      <w:pPr>
        <w:ind w:left="283" w:hanging="283"/>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activeWritingStyle w:appName="MSWord" w:lang="it-IT" w:vendorID="3" w:dllVersion="517" w:checkStyle="1"/>
  <w:proofState w:grammar="clean"/>
  <w:attachedTemplate r:id="rId1"/>
  <w:documentProtection w:edit="forms" w:enforcement="1" w:cryptProviderType="rsaAES" w:cryptAlgorithmClass="hash" w:cryptAlgorithmType="typeAny" w:cryptAlgorithmSid="14" w:cryptSpinCount="100000" w:hash="eG2Vh5JHhPDv3+285n09YEskUee8YXXnvFnhqRFHnWrZdtBY8hNU1P3i3gU7KzmM+U929xtFl5falZYEQ7E04g==" w:salt="BgMWqh8aGXGJscIeShzKJw=="/>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EE"/>
    <w:rsid w:val="002D2F9E"/>
    <w:rsid w:val="00472983"/>
    <w:rsid w:val="005951EE"/>
    <w:rsid w:val="00A40E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D1810B3-7555-4DAA-87E8-9E8D7967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lang w:val="en-US" w:eastAsia="en-US"/>
    </w:rPr>
  </w:style>
  <w:style w:type="paragraph" w:styleId="Titolo1">
    <w:name w:val="heading 1"/>
    <w:basedOn w:val="Normale"/>
    <w:next w:val="Normale"/>
    <w:qFormat/>
    <w:pPr>
      <w:keepNext/>
      <w:jc w:val="center"/>
      <w:outlineLvl w:val="0"/>
    </w:pPr>
    <w:rPr>
      <w:b/>
      <w:sz w:val="32"/>
    </w:rPr>
  </w:style>
  <w:style w:type="paragraph" w:styleId="Titolo2">
    <w:name w:val="heading 2"/>
    <w:basedOn w:val="Normale"/>
    <w:next w:val="Normale"/>
    <w:qFormat/>
    <w:pPr>
      <w:keepNext/>
      <w:jc w:val="center"/>
      <w:outlineLvl w:val="1"/>
    </w:pPr>
    <w:rPr>
      <w:b/>
      <w:sz w:val="20"/>
    </w:rPr>
  </w:style>
  <w:style w:type="paragraph" w:styleId="Titolo3">
    <w:name w:val="heading 3"/>
    <w:basedOn w:val="Normale"/>
    <w:next w:val="Normale"/>
    <w:qFormat/>
    <w:pPr>
      <w:keepNext/>
      <w:spacing w:line="360" w:lineRule="auto"/>
      <w:jc w:val="center"/>
      <w:outlineLvl w:val="2"/>
    </w:pPr>
    <w:rPr>
      <w:b/>
      <w:lang w:val="it-IT"/>
    </w:rPr>
  </w:style>
  <w:style w:type="paragraph" w:styleId="Titolo4">
    <w:name w:val="heading 4"/>
    <w:basedOn w:val="Normale"/>
    <w:next w:val="Normale"/>
    <w:qFormat/>
    <w:pPr>
      <w:keepNext/>
      <w:spacing w:line="360" w:lineRule="auto"/>
      <w:outlineLvl w:val="3"/>
    </w:pPr>
    <w:rPr>
      <w:b/>
      <w:lang w:val="it-IT"/>
    </w:rPr>
  </w:style>
  <w:style w:type="paragraph" w:styleId="Titolo5">
    <w:name w:val="heading 5"/>
    <w:basedOn w:val="Normale"/>
    <w:next w:val="Normale"/>
    <w:qFormat/>
    <w:pPr>
      <w:keepNext/>
      <w:ind w:left="60"/>
      <w:jc w:val="center"/>
      <w:outlineLvl w:val="4"/>
    </w:pPr>
    <w:rPr>
      <w:b/>
      <w:bCs/>
      <w:lang w:val="it-IT"/>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rPr>
  </w:style>
  <w:style w:type="paragraph" w:styleId="Sottotitolo">
    <w:name w:val="Subtitle"/>
    <w:basedOn w:val="Normale"/>
    <w:qFormat/>
    <w:pPr>
      <w:jc w:val="center"/>
    </w:pPr>
    <w:rPr>
      <w:b/>
    </w:rPr>
  </w:style>
  <w:style w:type="paragraph" w:styleId="Didascalia">
    <w:name w:val="caption"/>
    <w:basedOn w:val="Normale"/>
    <w:next w:val="Normale"/>
    <w:qFormat/>
    <w:pPr>
      <w:jc w:val="center"/>
    </w:pPr>
    <w:rPr>
      <w:b/>
    </w:rPr>
  </w:style>
  <w:style w:type="paragraph" w:styleId="Testonotadichiusura">
    <w:name w:val="endnote text"/>
    <w:basedOn w:val="Normale"/>
    <w:semiHidden/>
    <w:rPr>
      <w:sz w:val="20"/>
    </w:rPr>
  </w:style>
  <w:style w:type="character" w:styleId="Rimandonotadichiusura">
    <w:name w:val="endnote reference"/>
    <w:semiHidden/>
    <w:rPr>
      <w:vertAlign w:val="superscript"/>
    </w:rPr>
  </w:style>
  <w:style w:type="paragraph" w:styleId="Intestazione">
    <w:name w:val="header"/>
    <w:basedOn w:val="Normale"/>
    <w:semiHidden/>
    <w:pPr>
      <w:tabs>
        <w:tab w:val="center" w:pos="4819"/>
        <w:tab w:val="right" w:pos="9638"/>
      </w:tabs>
      <w:spacing w:after="120"/>
      <w:jc w:val="both"/>
    </w:pPr>
    <w:rPr>
      <w:lang w:val="it-IT"/>
    </w:rPr>
  </w:style>
  <w:style w:type="paragraph" w:styleId="Rientrocorpodeltesto">
    <w:name w:val="Body Text Indent"/>
    <w:basedOn w:val="Normale"/>
    <w:semiHidden/>
    <w:pPr>
      <w:ind w:firstLine="540"/>
    </w:pPr>
  </w:style>
  <w:style w:type="paragraph" w:styleId="Pidipagina">
    <w:name w:val="footer"/>
    <w:basedOn w:val="Normale"/>
    <w:semiHidden/>
    <w:pPr>
      <w:tabs>
        <w:tab w:val="center" w:pos="4819"/>
        <w:tab w:val="right" w:pos="9638"/>
      </w:tabs>
    </w:pPr>
  </w:style>
  <w:style w:type="paragraph" w:styleId="NormaleWeb">
    <w:name w:val="Normal (Web)"/>
    <w:basedOn w:val="Normale"/>
    <w:semiHidden/>
    <w:unhideWhenUsed/>
    <w:pPr>
      <w:spacing w:before="100" w:beforeAutospacing="1" w:after="142" w:line="276" w:lineRule="auto"/>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a0135\Downloads\Determina_n_423_del_25_10_2021__Bozza_-163549318830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Determina_n_423_del_25_10_2021__Bozza_-1635493188303</Template>
  <TotalTime>1</TotalTime>
  <Pages>6</Pages>
  <Words>1489</Words>
  <Characters>8493</Characters>
  <Application>Microsoft Office Word</Application>
  <DocSecurity>0</DocSecurity>
  <Lines>70</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Oggetto: c_Oggetto</vt:lpstr>
      <vt:lpstr>Oggetto: c_Oggetto</vt:lpstr>
    </vt:vector>
  </TitlesOfParts>
  <Company>Prisma Engineering</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c_Oggetto</dc:title>
  <dc:subject/>
  <dc:creator>Delgrosso Maurizio</dc:creator>
  <cp:keywords/>
  <cp:lastModifiedBy>Delgrosso Maurizio</cp:lastModifiedBy>
  <cp:revision>1</cp:revision>
  <cp:lastPrinted>2007-02-27T12:01:00Z</cp:lastPrinted>
  <dcterms:created xsi:type="dcterms:W3CDTF">2021-10-29T07:52:00Z</dcterms:created>
  <dcterms:modified xsi:type="dcterms:W3CDTF">2021-10-29T07:53:00Z</dcterms:modified>
</cp:coreProperties>
</file>